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900"/>
      </w:pPr>
      <w:r>
        <w:t xml:space="preserve"/>
      </w:r>
    </w:p>
    <w:p>
      <w:pPr>
        <w:keepNext w:val="false"/>
        <w:spacing w:after="60" w:before="0" w:line="300"/>
        <w:jc w:val="center"/>
      </w:pPr>
      <w:r>
        <w:rPr>
          <w:rFonts w:ascii="Calibri" w:cs="Calibri" w:eastAsia="Calibri" w:hAnsi="Calibri"/>
          <w:b/>
          <w:bCs/>
          <w:i w:val="false"/>
          <w:iCs w:val="false"/>
          <w:color w:val="0B6E4F"/>
          <w:sz w:val="19"/>
          <w:szCs w:val="19"/>
        </w:rPr>
        <w:t xml:space="preserve">A PROPOSAL TO HER EXCELLENCY THE FIRST LADY OF THE FEDERAL REPUBLIC OF NIGERIA</w:t>
      </w:r>
    </w:p>
    <w:p>
      <w:pPr>
        <w:keepNext w:val="false"/>
        <w:spacing w:after="480" w:before="0" w:line="276"/>
        <w:jc w:val="center"/>
      </w:pPr>
      <w:r>
        <w:rPr>
          <w:rFonts w:ascii="Calibri" w:cs="Calibri" w:eastAsia="Calibri" w:hAnsi="Calibri"/>
          <w:b w:val="false"/>
          <w:bCs w:val="false"/>
          <w:i/>
          <w:iCs/>
          <w:color w:val="6B6862"/>
          <w:sz w:val="19"/>
          <w:szCs w:val="19"/>
        </w:rPr>
        <w:t xml:space="preserve">Presented to the Renewed Hope Initiative</w:t>
      </w:r>
    </w:p>
    <w:p>
      <w:pPr>
        <w:keepNext w:val="false"/>
        <w:spacing w:after="140" w:before="0" w:line="340"/>
        <w:jc w:val="center"/>
      </w:pPr>
      <w:r>
        <w:rPr>
          <w:rFonts w:ascii="Calibri" w:cs="Calibri" w:eastAsia="Calibri" w:hAnsi="Calibri"/>
          <w:b/>
          <w:bCs/>
          <w:i w:val="false"/>
          <w:iCs w:val="false"/>
          <w:color w:val="07452F"/>
          <w:sz w:val="44"/>
          <w:szCs w:val="44"/>
        </w:rPr>
        <w:t xml:space="preserve">Border Communities and National Development</w:t>
      </w:r>
    </w:p>
    <w:p>
      <w:pPr>
        <w:keepNext w:val="false"/>
        <w:spacing w:after="420" w:before="0" w:line="320"/>
        <w:jc w:val="center"/>
      </w:pPr>
      <w:r>
        <w:rPr>
          <w:rFonts w:ascii="Calibri" w:cs="Calibri" w:eastAsia="Calibri" w:hAnsi="Calibri"/>
          <w:b w:val="false"/>
          <w:bCs w:val="false"/>
          <w:i w:val="false"/>
          <w:iCs w:val="false"/>
          <w:color w:val="20211F"/>
          <w:sz w:val="24"/>
          <w:szCs w:val="24"/>
        </w:rPr>
        <w:t xml:space="preserve">Assessing the Vulnerabilities, Challenges, and Development Needs of Disadvantaged and Sensitive Communities</w:t>
      </w:r>
    </w:p>
    <w:p>
      <w:pPr>
        <w:pBdr>
          <w:bottom w:val="single" w:color="0B6E4F" w:sz="6" w:space="2"/>
        </w:pBdr>
        <w:spacing w:after="120" w:before="120"/>
      </w:pPr>
      <w:r>
        <w:t xml:space="preserve"/>
      </w:r>
    </w:p>
    <w:p>
      <w:pPr>
        <w:keepNext w:val="false"/>
        <w:spacing w:after="80" w:before="0" w:line="300"/>
        <w:jc w:val="center"/>
      </w:pPr>
      <w:r>
        <w:rPr>
          <w:rFonts w:ascii="Calibri" w:cs="Calibri" w:eastAsia="Calibri" w:hAnsi="Calibri"/>
          <w:b/>
          <w:bCs/>
          <w:i w:val="false"/>
          <w:iCs w:val="false"/>
          <w:color w:val="0B6E4F"/>
          <w:sz w:val="26"/>
          <w:szCs w:val="26"/>
        </w:rPr>
        <w:t xml:space="preserve">THE RENEWED HOPE FRONTIER PROGRAMME</w:t>
      </w:r>
    </w:p>
    <w:p>
      <w:pPr>
        <w:keepNext w:val="false"/>
        <w:spacing w:after="200" w:before="0" w:line="276"/>
        <w:jc w:val="center"/>
      </w:pPr>
      <w:r>
        <w:rPr>
          <w:rFonts w:ascii="Calibri" w:cs="Calibri" w:eastAsia="Calibri" w:hAnsi="Calibri"/>
          <w:b w:val="false"/>
          <w:bCs w:val="false"/>
          <w:i/>
          <w:iCs/>
          <w:color w:val="6B6862"/>
          <w:sz w:val="22"/>
          <w:szCs w:val="22"/>
        </w:rPr>
        <w:t xml:space="preserve">“No Nigerian Beyond Reach”</w:t>
      </w:r>
    </w:p>
    <w:p>
      <w:pPr>
        <w:pBdr>
          <w:bottom w:val="single" w:color="0B6E4F" w:sz="6" w:space="2"/>
        </w:pBdr>
        <w:spacing w:after="120" w:before="120"/>
      </w:pPr>
      <w:r>
        <w:t xml:space="preserve"/>
      </w:r>
    </w:p>
    <w:p>
      <w:pPr>
        <w:spacing w:after="340" w:before="340"/>
        <w:jc w:val="center"/>
      </w:pPr>
      <w:r>
        <w:drawing>
          <wp:inline distT="0" distB="0" distL="0" distR="0">
            <wp:extent cx="3810000" cy="3314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810000" cy="3314700"/>
                    </a:xfrm>
                    <a:prstGeom prst="rect">
                      <a:avLst/>
                    </a:prstGeom>
                  </pic:spPr>
                </pic:pic>
              </a:graphicData>
            </a:graphic>
          </wp:inline>
        </w:drawing>
      </w:r>
    </w:p>
    <w:p>
      <w:pPr>
        <w:keepNext w:val="false"/>
        <w:spacing w:after="500" w:before="0" w:line="276"/>
        <w:jc w:val="center"/>
      </w:pPr>
      <w:r>
        <w:rPr>
          <w:rFonts w:ascii="Calibri" w:cs="Calibri" w:eastAsia="Calibri" w:hAnsi="Calibri"/>
          <w:b w:val="false"/>
          <w:bCs w:val="false"/>
          <w:i/>
          <w:iCs/>
          <w:color w:val="6B6862"/>
          <w:sz w:val="19"/>
          <w:szCs w:val="19"/>
        </w:rPr>
        <w:t xml:space="preserve">Reaching 20 million Nigerians in 2,000+ border communities across 105 Local Government Areas and 21 States</w:t>
      </w:r>
    </w:p>
    <w:p>
      <w:pPr>
        <w:keepNext w:val="false"/>
        <w:spacing w:after="60" w:before="0" w:line="276"/>
        <w:jc w:val="center"/>
      </w:pPr>
      <w:r>
        <w:rPr>
          <w:rFonts w:ascii="Calibri" w:cs="Calibri" w:eastAsia="Calibri" w:hAnsi="Calibri"/>
          <w:b w:val="false"/>
          <w:bCs w:val="false"/>
          <w:i w:val="false"/>
          <w:iCs w:val="false"/>
          <w:color w:val="6B6862"/>
          <w:sz w:val="18"/>
          <w:szCs w:val="18"/>
        </w:rPr>
        <w:t xml:space="preserve">Submitted by</w:t>
      </w:r>
    </w:p>
    <w:p>
      <w:pPr>
        <w:keepNext w:val="false"/>
        <w:spacing w:after="60" w:before="0" w:line="276"/>
        <w:jc w:val="center"/>
      </w:pPr>
      <w:r>
        <w:rPr>
          <w:rFonts w:ascii="Calibri" w:cs="Calibri" w:eastAsia="Calibri" w:hAnsi="Calibri"/>
          <w:b/>
          <w:bCs/>
          <w:i w:val="false"/>
          <w:iCs w:val="false"/>
          <w:color w:val="07452F"/>
          <w:sz w:val="22"/>
          <w:szCs w:val="22"/>
        </w:rPr>
        <w:t xml:space="preserve">JOSMOL GROUP INC. · DOKTORCONNECT</w:t>
      </w:r>
    </w:p>
    <w:p>
      <w:pPr>
        <w:keepNext w:val="false"/>
        <w:spacing w:after="40" w:before="0" w:line="276"/>
        <w:jc w:val="center"/>
      </w:pPr>
      <w:r>
        <w:rPr>
          <w:rFonts w:ascii="Calibri" w:cs="Calibri" w:eastAsia="Calibri" w:hAnsi="Calibri"/>
          <w:b w:val="false"/>
          <w:bCs w:val="false"/>
          <w:i w:val="false"/>
          <w:iCs w:val="false"/>
          <w:color w:val="20211F"/>
          <w:sz w:val="19"/>
          <w:szCs w:val="19"/>
        </w:rPr>
        <w:t xml:space="preserve">Dr. Joseph Olowe, DPT, MSc, MBA — Founder &amp; Chief Executive Officer</w:t>
      </w:r>
    </w:p>
    <w:p>
      <w:pPr>
        <w:keepNext w:val="false"/>
        <w:spacing w:after="300" w:before="0" w:line="276"/>
        <w:jc w:val="center"/>
      </w:pPr>
      <w:r>
        <w:rPr>
          <w:rFonts w:ascii="Calibri" w:cs="Calibri" w:eastAsia="Calibri" w:hAnsi="Calibri"/>
          <w:b w:val="false"/>
          <w:bCs w:val="false"/>
          <w:i/>
          <w:iCs/>
          <w:color w:val="6B6862"/>
          <w:sz w:val="18"/>
          <w:szCs w:val="18"/>
        </w:rPr>
        <w:t xml:space="preserve">in partnership with Omega Wellness Center</w:t>
      </w:r>
    </w:p>
    <w:p>
      <w:pPr>
        <w:keepNext w:val="false"/>
        <w:spacing w:after="0" w:before="0" w:line="276"/>
        <w:jc w:val="center"/>
      </w:pPr>
      <w:r>
        <w:rPr>
          <w:rFonts w:ascii="Calibri" w:cs="Calibri" w:eastAsia="Calibri" w:hAnsi="Calibri"/>
          <w:b/>
          <w:bCs/>
          <w:i w:val="false"/>
          <w:iCs w:val="false"/>
          <w:color w:val="0B6E4F"/>
          <w:sz w:val="19"/>
          <w:szCs w:val="19"/>
        </w:rPr>
        <w:t xml:space="preserve">August 2026</w:t>
      </w:r>
    </w:p>
    <w:p>
      <w:r>
        <w:br w:type="page"/>
      </w:r>
    </w:p>
    <w:p>
      <w:pPr>
        <w:pStyle w:val="Heading1"/>
        <w:keepNext/>
        <w:pBdr>
          <w:bottom w:val="single" w:color="0B6E4F" w:sz="10" w:space="6"/>
        </w:pBdr>
        <w:spacing w:after="160" w:before="360"/>
      </w:pPr>
      <w:r>
        <w:rPr>
          <w:rFonts w:ascii="Calibri" w:cs="Calibri" w:eastAsia="Calibri" w:hAnsi="Calibri"/>
          <w:b/>
          <w:bCs/>
          <w:color w:val="07452F"/>
          <w:sz w:val="30"/>
          <w:szCs w:val="30"/>
        </w:rPr>
        <w:t xml:space="preserve">Contents</w:t>
      </w:r>
    </w:p>
    <w:sdt>
      <w:sdtPr>
        <w:alias w:val="Contents"/>
      </w:sdtPr>
      <w:sdtContent>
        <w:p>
          <w:r>
            <w:fldChar w:fldCharType="begin" w:dirty="true"/>
            <w:instrText xml:space="preserve">TOC \h \o "1-2"</w:instrText>
            <w:fldChar w:fldCharType="separate"/>
          </w:r>
        </w:p>
        <w:p>
          <w:r>
            <w:fldChar w:fldCharType="end"/>
          </w:r>
        </w:p>
      </w:sdtContent>
    </w:sdt>
    <w:p>
      <w:pPr>
        <w:keepNext w:val="false"/>
        <w:spacing w:after="0" w:before="200" w:line="276"/>
        <w:jc w:val="both"/>
      </w:pPr>
      <w:r>
        <w:rPr>
          <w:rFonts w:ascii="Calibri" w:cs="Calibri" w:eastAsia="Calibri" w:hAnsi="Calibri"/>
          <w:b w:val="false"/>
          <w:bCs w:val="false"/>
          <w:i/>
          <w:iCs/>
          <w:color w:val="6B6862"/>
          <w:sz w:val="17"/>
          <w:szCs w:val="17"/>
        </w:rPr>
        <w:t xml:space="preserve">(In Microsoft Word, right-click this table and select “Update Field” to populate page numbers.)</w:t>
      </w:r>
    </w:p>
    <w:p>
      <w:r>
        <w:br w:type="page"/>
      </w:r>
    </w:p>
    <w:p>
      <w:pPr>
        <w:pStyle w:val="Heading1"/>
        <w:keepNext/>
        <w:pBdr>
          <w:bottom w:val="single" w:color="0B6E4F" w:sz="10" w:space="6"/>
        </w:pBdr>
        <w:spacing w:after="160" w:before="360"/>
      </w:pPr>
      <w:r>
        <w:rPr>
          <w:rFonts w:ascii="Calibri" w:cs="Calibri" w:eastAsia="Calibri" w:hAnsi="Calibri"/>
          <w:b/>
          <w:bCs/>
          <w:color w:val="07452F"/>
          <w:sz w:val="30"/>
          <w:szCs w:val="30"/>
        </w:rPr>
        <w:t xml:space="preserve">1.  Executive Summary</w:t>
      </w:r>
    </w:p>
    <w:tbl>
      <w:tblPr>
        <w:tblW w:type="dxa" w:w="9638"/>
        <w:tblBorders>
          <w:top w:val="single" w:color="0B6E4F" w:sz="4"/>
          <w:left w:val="single" w:color="0B6E4F" w:sz="24"/>
          <w:bottom w:val="single" w:color="0B6E4F" w:sz="4"/>
          <w:right w:val="single" w:color="0B6E4F" w:sz="4"/>
          <w:insideH w:val="none"/>
          <w:insideV w:val="none"/>
        </w:tblBorders>
      </w:tblPr>
      <w:tblGrid>
        <w:gridCol w:w="9638"/>
      </w:tblGrid>
      <w:tr>
        <w:tc>
          <w:tcPr>
            <w:tcW w:type="dxa" w:w="9638"/>
            <w:shd w:fill="F5F4EE" w:color="auto" w:val="clear"/>
            <w:tcMar>
              <w:top w:type="dxa" w:w="200"/>
              <w:left w:type="dxa" w:w="240"/>
              <w:bottom w:type="dxa" w:w="200"/>
              <w:right w:type="dxa" w:w="200"/>
            </w:tcMar>
          </w:tcPr>
          <w:p>
            <w:pPr>
              <w:keepNext w:val="false"/>
              <w:spacing w:after="100" w:before="0" w:line="264"/>
              <w:jc w:val="center"/>
            </w:pPr>
            <w:r>
              <w:rPr>
                <w:rFonts w:ascii="Calibri" w:cs="Calibri" w:eastAsia="Calibri" w:hAnsi="Calibri"/>
                <w:b/>
                <w:bCs/>
                <w:i w:val="false"/>
                <w:iCs w:val="false"/>
                <w:color w:val="07452F"/>
                <w:sz w:val="26"/>
                <w:szCs w:val="26"/>
              </w:rPr>
              <w:t xml:space="preserve">Nigeria does not end at her borders. Nigeria begins there.</w:t>
            </w:r>
          </w:p>
          <w:p>
            <w:pPr>
              <w:keepNext w:val="false"/>
              <w:spacing w:after="0" w:before="0" w:line="264"/>
              <w:jc w:val="center"/>
            </w:pPr>
            <w:r>
              <w:rPr>
                <w:rFonts w:ascii="Calibri" w:cs="Calibri" w:eastAsia="Calibri" w:hAnsi="Calibri"/>
                <w:b w:val="false"/>
                <w:bCs w:val="false"/>
                <w:i/>
                <w:iCs/>
                <w:color w:val="20211F"/>
                <w:sz w:val="21"/>
                <w:szCs w:val="21"/>
              </w:rPr>
              <w:t xml:space="preserve">Twenty million citizens — more than the entire population of Lagos State — live on the outer edge of the map, and on the outer edge of the nation’s attention. This proposal is about bringing them home.</w:t>
            </w:r>
          </w:p>
        </w:tc>
      </w:tr>
    </w:tbl>
    <w:p>
      <w:pPr>
        <w:pStyle w:val="Heading2"/>
        <w:keepNext/>
        <w:spacing w:after="110" w:before="260"/>
      </w:pPr>
      <w:r>
        <w:rPr>
          <w:rFonts w:ascii="Calibri" w:cs="Calibri" w:eastAsia="Calibri" w:hAnsi="Calibri"/>
          <w:b/>
          <w:bCs/>
          <w:color w:val="0B6E4F"/>
          <w:sz w:val="24"/>
          <w:szCs w:val="24"/>
        </w:rPr>
        <w:t xml:space="preserve">1.1  The situation</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Nigeria shares 3,053 kilometres of international land border with the Republics of Benin, Niger, Chad and Cameroon. Along that frontier lie more than 2,000 recognised border communities, distributed across 105 Local Government Areas in 21 States, and home to over 20 million Nigerians — approximately 14 per cent of the national population.</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These are the communities that hold the line. They are the first to feel a currency shock, the first to meet an armed incursion, the first to receive a disease crossing in from a neighbouring country, and the last to receive a borehole, a clinic, a classroom or a road. In the most severe cases, Nigerian mothers cross an international boundary to give birth. Nigerian children cross to attend school, and return home speaking a language their own parents do not speak. Nigerian families cross to fetch drinking water.</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Senate has named the consequence plainly: where the Nigerian State is absent, allegiance drifts. This is not disloyalty. It is arithmetic. A family gives its loyalty to whoever gives it water.</w:t>
      </w:r>
    </w:p>
    <w:p>
      <w:pPr>
        <w:pStyle w:val="Heading2"/>
        <w:keepNext/>
        <w:spacing w:after="110" w:before="260"/>
      </w:pPr>
      <w:r>
        <w:rPr>
          <w:rFonts w:ascii="Calibri" w:cs="Calibri" w:eastAsia="Calibri" w:hAnsi="Calibri"/>
          <w:b/>
          <w:bCs/>
          <w:color w:val="0B6E4F"/>
          <w:sz w:val="24"/>
          <w:szCs w:val="24"/>
        </w:rPr>
        <w:t xml:space="preserve">1.2  The proposal</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We propose the establishment of the Renewed Hope Frontier Programme (RHFP) — a flagship initiative of the Renewed Hope Initiative, under the leadership and moral authority of Her Excellency the First Lady, to assess, prioritise and transform Nigeria’s most vulnerable border communities.</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Programme has two halves, and the first makes the second possible:</w:t>
      </w:r>
    </w:p>
    <w:p>
      <w:pPr>
        <w:pStyle w:val="ListParagraph"/>
        <w:numPr>
          <w:ilvl w:val="0"/>
          <w:numId w:val="2"/>
        </w:numPr>
        <w:spacing w:after="80" w:before="0" w:line="264"/>
        <w:jc w:val="left"/>
      </w:pPr>
      <w:r>
        <w:rPr>
          <w:rFonts w:ascii="Calibri" w:cs="Calibri" w:eastAsia="Calibri" w:hAnsi="Calibri"/>
          <w:b/>
          <w:bCs/>
          <w:color w:val="20211F"/>
          <w:sz w:val="21"/>
          <w:szCs w:val="21"/>
        </w:rPr>
        <w:t xml:space="preserve">ASSESS — </w:t>
      </w:r>
      <w:r>
        <w:rPr>
          <w:rFonts w:ascii="Calibri" w:cs="Calibri" w:eastAsia="Calibri" w:hAnsi="Calibri"/>
          <w:color w:val="20211F"/>
          <w:sz w:val="21"/>
          <w:szCs w:val="21"/>
        </w:rPr>
        <w:t xml:space="preserve">Build the Frontier Vulnerability Index (FVI) and the National Frontier Register: the first authoritative, georeferenced, community-by-community measurement of vulnerability across all 2,000+ border communities. Nigeria has never had one. Without it, every naira spent at the frontier is spent blind.</w:t>
      </w:r>
    </w:p>
    <w:p>
      <w:pPr>
        <w:pStyle w:val="ListParagraph"/>
        <w:numPr>
          <w:ilvl w:val="0"/>
          <w:numId w:val="2"/>
        </w:numPr>
        <w:spacing w:after="80" w:before="0" w:line="264"/>
        <w:jc w:val="left"/>
      </w:pPr>
      <w:r>
        <w:rPr>
          <w:rFonts w:ascii="Calibri" w:cs="Calibri" w:eastAsia="Calibri" w:hAnsi="Calibri"/>
          <w:b/>
          <w:bCs/>
          <w:color w:val="20211F"/>
          <w:sz w:val="21"/>
          <w:szCs w:val="21"/>
        </w:rPr>
        <w:t xml:space="preserve">TRANSFORM — </w:t>
      </w:r>
      <w:r>
        <w:rPr>
          <w:rFonts w:ascii="Calibri" w:cs="Calibri" w:eastAsia="Calibri" w:hAnsi="Calibri"/>
          <w:color w:val="20211F"/>
          <w:sz w:val="21"/>
          <w:szCs w:val="21"/>
        </w:rPr>
        <w:t xml:space="preserve">Deliver a costed, sequenced package of water, health, education, energy, livelihood, identity and health-financing interventions through five programme pillars, beginning with a 100-Day Frontier Compassion Sprint in one community in every border State.</w:t>
      </w:r>
    </w:p>
    <w:p>
      <w:pPr>
        <w:pStyle w:val="Heading2"/>
        <w:keepNext/>
        <w:spacing w:after="110" w:before="260"/>
      </w:pPr>
      <w:r>
        <w:rPr>
          <w:rFonts w:ascii="Calibri" w:cs="Calibri" w:eastAsia="Calibri" w:hAnsi="Calibri"/>
          <w:b/>
          <w:bCs/>
          <w:color w:val="0B6E4F"/>
          <w:sz w:val="24"/>
          <w:szCs w:val="24"/>
        </w:rPr>
        <w:t xml:space="preserve">1.3  What makes this different</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2400"/>
        <w:gridCol w:w="3500"/>
        <w:gridCol w:w="3738"/>
      </w:tblGrid>
      <w:tr>
        <w:trPr>
          <w:tblHeader/>
        </w:trPr>
        <w:tc>
          <w:tcPr>
            <w:tcW w:type="dxa" w:w="24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
            </w:r>
          </w:p>
        </w:tc>
        <w:tc>
          <w:tcPr>
            <w:tcW w:type="dxa" w:w="35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The usual approach</w:t>
            </w:r>
          </w:p>
        </w:tc>
        <w:tc>
          <w:tcPr>
            <w:tcW w:type="dxa" w:w="37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The Renewed Hope Frontier Programme</w:t>
            </w:r>
          </w:p>
        </w:tc>
      </w:tr>
      <w:tr>
        <w:tc>
          <w:tcPr>
            <w:tcW w:type="dxa" w:w="2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Targeting</w:t>
            </w:r>
          </w:p>
        </w:tc>
        <w:tc>
          <w:tcPr>
            <w:tcW w:type="dxa" w:w="35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Projects allocated by political request; locations often unverified</w:t>
            </w:r>
          </w:p>
        </w:tc>
        <w:tc>
          <w:tcPr>
            <w:tcW w:type="dxa" w:w="37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Every community scored on the Frontier Vulnerability Index and fixed to GPS coordinates before a naira is committed</w:t>
            </w:r>
          </w:p>
        </w:tc>
      </w:tr>
      <w:tr>
        <w:tc>
          <w:tcPr>
            <w:tcW w:type="dxa" w:w="2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Delivery</w:t>
            </w:r>
          </w:p>
        </w:tc>
        <w:tc>
          <w:tcPr>
            <w:tcW w:type="dxa" w:w="35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Contractor-led, capital-heavy, slow to reach the last village</w:t>
            </w:r>
          </w:p>
        </w:tc>
        <w:tc>
          <w:tcPr>
            <w:tcW w:type="dxa" w:w="37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Women-led community cadre (Frontier Hope Ambassadors) supported by a Nigerian-built digital health and services platform already operating on basic phones</w:t>
            </w:r>
          </w:p>
        </w:tc>
      </w:tr>
      <w:tr>
        <w:tc>
          <w:tcPr>
            <w:tcW w:type="dxa" w:w="2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Visibility</w:t>
            </w:r>
          </w:p>
        </w:tc>
        <w:tc>
          <w:tcPr>
            <w:tcW w:type="dxa" w:w="35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Reporting by paper submission after the fact</w:t>
            </w:r>
          </w:p>
        </w:tc>
        <w:tc>
          <w:tcPr>
            <w:tcW w:type="dxa" w:w="37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Live public dashboard with photographic and geotagged proof of delivery, in the spirit of the Presidential Delivery Tracker</w:t>
            </w:r>
          </w:p>
        </w:tc>
      </w:tr>
      <w:tr>
        <w:tc>
          <w:tcPr>
            <w:tcW w:type="dxa" w:w="2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Measure of success</w:t>
            </w:r>
          </w:p>
        </w:tc>
        <w:tc>
          <w:tcPr>
            <w:tcW w:type="dxa" w:w="35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Number of projects commissioned</w:t>
            </w:r>
          </w:p>
        </w:tc>
        <w:tc>
          <w:tcPr>
            <w:tcW w:type="dxa" w:w="37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Cross-Border Dependency Rate — the proportion of households that must leave Nigeria to meet a basic need</w:t>
            </w:r>
          </w:p>
        </w:tc>
      </w:tr>
    </w:tbl>
    <w:p>
      <w:pPr>
        <w:pStyle w:val="Heading2"/>
        <w:keepNext/>
        <w:spacing w:after="110" w:before="260"/>
      </w:pPr>
      <w:r>
        <w:rPr>
          <w:rFonts w:ascii="Calibri" w:cs="Calibri" w:eastAsia="Calibri" w:hAnsi="Calibri"/>
          <w:b/>
          <w:bCs/>
          <w:color w:val="0B6E4F"/>
          <w:sz w:val="24"/>
          <w:szCs w:val="24"/>
        </w:rPr>
        <w:t xml:space="preserve">1.4  It is also epidemic preparedness</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Cholera, meningitis and diphtheria return to these communities every season. When an outbreak arrives, the national response finds the preconditions for responding absent: clean water for rehydration, power for a vaccine cold chain, a registration record to supply a denominator, a clinic to isolate in, a passable road, and any channel through which to warn people. Every asset in this Programme does one job on an ordinary day and a second in an epidemic, at no additional cost. Section 8 sets this out in full.</w:t>
      </w:r>
    </w:p>
    <w:p>
      <w:pPr>
        <w:pStyle w:val="Heading2"/>
        <w:keepNext/>
        <w:spacing w:after="110" w:before="260"/>
      </w:pPr>
      <w:r>
        <w:rPr>
          <w:rFonts w:ascii="Calibri" w:cs="Calibri" w:eastAsia="Calibri" w:hAnsi="Calibri"/>
          <w:b/>
          <w:bCs/>
          <w:color w:val="0B6E4F"/>
          <w:sz w:val="24"/>
          <w:szCs w:val="24"/>
        </w:rPr>
        <w:t xml:space="preserve">1.5  Alignment with the Renewed Hope Agenda</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Programme sits squarely inside the President’s eight priority areas — particularly food security, ending poverty, improving security, and inclusivity — and inside all five pillars of the Renewed Hope Initiative: Agriculture, Economic Empowerment, Social Investment, Health and Education. It also extends two initiatives already personally championed by Her Excellency: the national birth registration drive, and the campaign against cervical cancer. It carries both to the one part of Nigeria they have not yet reached.</w:t>
      </w:r>
    </w:p>
    <w:p>
      <w:pPr>
        <w:pStyle w:val="Heading2"/>
        <w:keepNext/>
        <w:spacing w:after="110" w:before="260"/>
      </w:pPr>
      <w:r>
        <w:rPr>
          <w:rFonts w:ascii="Calibri" w:cs="Calibri" w:eastAsia="Calibri" w:hAnsi="Calibri"/>
          <w:b/>
          <w:bCs/>
          <w:color w:val="0B6E4F"/>
          <w:sz w:val="24"/>
          <w:szCs w:val="24"/>
        </w:rPr>
        <w:t xml:space="preserve">1.6  The ask</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900"/>
        <w:gridCol w:w="3300"/>
        <w:gridCol w:w="2100"/>
        <w:gridCol w:w="3338"/>
      </w:tblGrid>
      <w:tr>
        <w:trPr>
          <w:tblHeader/>
        </w:trPr>
        <w:tc>
          <w:tcPr>
            <w:tcW w:type="dxa" w:w="9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Phase</w:t>
            </w:r>
          </w:p>
        </w:tc>
        <w:tc>
          <w:tcPr>
            <w:tcW w:type="dxa" w:w="33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What it delivers</w:t>
            </w:r>
          </w:p>
        </w:tc>
        <w:tc>
          <w:tcPr>
            <w:tcW w:type="dxa" w:w="21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Investment</w:t>
            </w:r>
          </w:p>
        </w:tc>
        <w:tc>
          <w:tcPr>
            <w:tcW w:type="dxa" w:w="33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Timeline</w:t>
            </w:r>
          </w:p>
        </w:tc>
      </w:tr>
      <w:tr>
        <w:tc>
          <w:tcPr>
            <w:tcW w:type="dxa" w:w="9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0</w:t>
            </w:r>
          </w:p>
        </w:tc>
        <w:tc>
          <w:tcPr>
            <w:tcW w:type="dxa" w:w="33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Frontier Assessment: the FVI instrument, field assessment in 21 sentinel communities (one per border State), the National Frontier Register and the public dashboard</w:t>
            </w:r>
          </w:p>
        </w:tc>
        <w:tc>
          <w:tcPr>
            <w:tcW w:type="dxa" w:w="21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₦30,000,000</w:t>
            </w:r>
          </w:p>
        </w:tc>
        <w:tc>
          <w:tcPr>
            <w:tcW w:type="dxa" w:w="33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Months 0–6</w:t>
            </w:r>
          </w:p>
        </w:tc>
      </w:tr>
      <w:tr>
        <w:tc>
          <w:tcPr>
            <w:tcW w:type="dxa" w:w="9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1</w:t>
            </w:r>
          </w:p>
        </w:tc>
        <w:tc>
          <w:tcPr>
            <w:tcW w:type="dxa" w:w="33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100-Day Frontier Compassion Sprint: a full intervention package in 21 communities, one in every border State</w:t>
            </w:r>
          </w:p>
        </w:tc>
        <w:tc>
          <w:tcPr>
            <w:tcW w:type="dxa" w:w="21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₦2.4 billion</w:t>
            </w:r>
          </w:p>
        </w:tc>
        <w:tc>
          <w:tcPr>
            <w:tcW w:type="dxa" w:w="33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Months 4–9</w:t>
            </w:r>
          </w:p>
        </w:tc>
      </w:tr>
      <w:tr>
        <w:tc>
          <w:tcPr>
            <w:tcW w:type="dxa" w:w="9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2</w:t>
            </w:r>
          </w:p>
        </w:tc>
        <w:tc>
          <w:tcPr>
            <w:tcW w:type="dxa" w:w="33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Renewed Hope Frontier 250: scale to 250 highest-need communities</w:t>
            </w:r>
          </w:p>
        </w:tc>
        <w:tc>
          <w:tcPr>
            <w:tcW w:type="dxa" w:w="21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₦21 billion</w:t>
            </w:r>
          </w:p>
        </w:tc>
        <w:tc>
          <w:tcPr>
            <w:tcW w:type="dxa" w:w="33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Months 9–33</w:t>
            </w:r>
          </w:p>
        </w:tc>
      </w:tr>
      <w:tr>
        <w:tc>
          <w:tcPr>
            <w:tcW w:type="dxa" w:w="9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3</w:t>
            </w:r>
          </w:p>
        </w:tc>
        <w:tc>
          <w:tcPr>
            <w:tcW w:type="dxa" w:w="33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National coverage of all 2,000+ border communities, blended with existing Federal, State and partner funding</w:t>
            </w:r>
          </w:p>
        </w:tc>
        <w:tc>
          <w:tcPr>
            <w:tcW w:type="dxa" w:w="21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₦180 billion (blended)</w:t>
            </w:r>
          </w:p>
        </w:tc>
        <w:tc>
          <w:tcPr>
            <w:tcW w:type="dxa" w:w="33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Years 3–8</w:t>
            </w:r>
          </w:p>
        </w:tc>
      </w:tr>
    </w:tbl>
    <w:p>
      <w:pPr>
        <w:keepNext w:val="false"/>
        <w:spacing w:after="120" w:before="140" w:line="276"/>
        <w:jc w:val="both"/>
      </w:pPr>
      <w:r>
        <w:rPr>
          <w:rFonts w:ascii="Calibri" w:cs="Calibri" w:eastAsia="Calibri" w:hAnsi="Calibri"/>
          <w:b w:val="false"/>
          <w:bCs w:val="false"/>
          <w:i w:val="false"/>
          <w:iCs w:val="false"/>
          <w:color w:val="20211F"/>
          <w:sz w:val="21"/>
          <w:szCs w:val="21"/>
        </w:rPr>
        <w:t xml:space="preserve">Only Phase 0 — ₦30 million — is requested for immediate approval. It is a small sum against what it unlocks: a defensible, evidence-based national plan for 20 million citizens, and the assurance that every subsequent naira reaches a community that genuinely exists on the border and genuinely needs it.</w:t>
      </w:r>
    </w:p>
    <w:tbl>
      <w:tblPr>
        <w:tblW w:type="dxa" w:w="9638"/>
        <w:tblBorders>
          <w:top w:val="single" w:color="C97E12" w:sz="4"/>
          <w:left w:val="single" w:color="C97E12" w:sz="24"/>
          <w:bottom w:val="single" w:color="C97E12" w:sz="4"/>
          <w:right w:val="single" w:color="C97E12" w:sz="4"/>
          <w:insideH w:val="none"/>
          <w:insideV w:val="none"/>
        </w:tblBorders>
      </w:tblPr>
      <w:tblGrid>
        <w:gridCol w:w="9638"/>
      </w:tblGrid>
      <w:tr>
        <w:tc>
          <w:tcPr>
            <w:tcW w:type="dxa" w:w="9638"/>
            <w:shd w:fill="FDF6E7" w:color="auto" w:val="clear"/>
            <w:tcMar>
              <w:top w:type="dxa" w:w="200"/>
              <w:left w:type="dxa" w:w="240"/>
              <w:bottom w:type="dxa" w:w="200"/>
              <w:right w:type="dxa" w:w="200"/>
            </w:tcMar>
          </w:tcPr>
          <w:p>
            <w:pPr>
              <w:keepNext w:val="false"/>
              <w:spacing w:after="100" w:before="0" w:line="264"/>
              <w:jc w:val="left"/>
            </w:pPr>
            <w:r>
              <w:rPr>
                <w:rFonts w:ascii="Calibri" w:cs="Calibri" w:eastAsia="Calibri" w:hAnsi="Calibri"/>
                <w:b/>
                <w:bCs/>
                <w:i w:val="false"/>
                <w:iCs w:val="false"/>
                <w:color w:val="0B6E4F"/>
                <w:sz w:val="18"/>
                <w:szCs w:val="18"/>
              </w:rPr>
              <w:t xml:space="preserve">THE LEGACY</w:t>
            </w:r>
          </w:p>
          <w:p>
            <w:pPr>
              <w:keepNext w:val="false"/>
              <w:spacing w:after="0" w:before="0" w:line="264"/>
              <w:jc w:val="left"/>
            </w:pPr>
            <w:r>
              <w:rPr>
                <w:rFonts w:ascii="Calibri" w:cs="Calibri" w:eastAsia="Calibri" w:hAnsi="Calibri"/>
                <w:b w:val="false"/>
                <w:bCs w:val="false"/>
                <w:i/>
                <w:iCs/>
                <w:color w:val="20211F"/>
                <w:sz w:val="22"/>
                <w:szCs w:val="22"/>
              </w:rPr>
              <w:t xml:space="preserve">Every First Lady of Nigeria is remembered for one thing. This is an opportunity to be remembered as the First Lady who went to the edge of the country and brought 20 million Nigerians back into the picture — the Mother of the Frontier.</w:t>
            </w:r>
          </w:p>
        </w:tc>
      </w:tr>
    </w:tbl>
    <w:p>
      <w:r>
        <w:br w:type="page"/>
      </w:r>
    </w:p>
    <w:p>
      <w:pPr>
        <w:pStyle w:val="Heading1"/>
        <w:keepNext/>
        <w:pBdr>
          <w:bottom w:val="single" w:color="0B6E4F" w:sz="10" w:space="6"/>
        </w:pBdr>
        <w:spacing w:after="160" w:before="360"/>
      </w:pPr>
      <w:r>
        <w:rPr>
          <w:rFonts w:ascii="Calibri" w:cs="Calibri" w:eastAsia="Calibri" w:hAnsi="Calibri"/>
          <w:b/>
          <w:bCs/>
          <w:color w:val="07452F"/>
          <w:sz w:val="30"/>
          <w:szCs w:val="30"/>
        </w:rPr>
        <w:t xml:space="preserve">2.  The Case: Why the Frontier, and Why Now</w:t>
      </w:r>
    </w:p>
    <w:p>
      <w:pPr>
        <w:pStyle w:val="Heading2"/>
        <w:keepNext/>
        <w:spacing w:after="110" w:before="260"/>
      </w:pPr>
      <w:r>
        <w:rPr>
          <w:rFonts w:ascii="Calibri" w:cs="Calibri" w:eastAsia="Calibri" w:hAnsi="Calibri"/>
          <w:b/>
          <w:bCs/>
          <w:color w:val="0B6E4F"/>
          <w:sz w:val="24"/>
          <w:szCs w:val="24"/>
        </w:rPr>
        <w:t xml:space="preserve">2.1  Nigeria’s frontier at a glance</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3400"/>
        <w:gridCol w:w="6238"/>
      </w:tblGrid>
      <w:tr>
        <w:trPr>
          <w:tblHeader/>
        </w:trPr>
        <w:tc>
          <w:tcPr>
            <w:tcW w:type="dxa" w:w="34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Indicator</w:t>
            </w:r>
          </w:p>
        </w:tc>
        <w:tc>
          <w:tcPr>
            <w:tcW w:type="dxa" w:w="62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Figure</w:t>
            </w:r>
          </w:p>
        </w:tc>
      </w:tr>
      <w:tr>
        <w:tc>
          <w:tcPr>
            <w:tcW w:type="dxa" w:w="3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International land border</w:t>
            </w:r>
          </w:p>
        </w:tc>
        <w:tc>
          <w:tcPr>
            <w:tcW w:type="dxa" w:w="62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3,053 km — Benin (773 km), Niger (1,497 km), Chad (87 km), Cameroon (1,690 km)</w:t>
            </w:r>
          </w:p>
        </w:tc>
      </w:tr>
      <w:tr>
        <w:tc>
          <w:tcPr>
            <w:tcW w:type="dxa" w:w="3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Recognised border communities</w:t>
            </w:r>
          </w:p>
        </w:tc>
        <w:tc>
          <w:tcPr>
            <w:tcW w:type="dxa" w:w="62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2,000+ (Border Communities Development Agency Act 2003, as amended 2006)</w:t>
            </w:r>
          </w:p>
        </w:tc>
      </w:tr>
      <w:tr>
        <w:tc>
          <w:tcPr>
            <w:tcW w:type="dxa" w:w="3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Local Government Areas affected</w:t>
            </w:r>
          </w:p>
        </w:tc>
        <w:tc>
          <w:tcPr>
            <w:tcW w:type="dxa" w:w="62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105</w:t>
            </w:r>
          </w:p>
        </w:tc>
      </w:tr>
      <w:tr>
        <w:tc>
          <w:tcPr>
            <w:tcW w:type="dxa" w:w="3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States affected</w:t>
            </w:r>
          </w:p>
        </w:tc>
        <w:tc>
          <w:tcPr>
            <w:tcW w:type="dxa" w:w="62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21</w:t>
            </w:r>
          </w:p>
        </w:tc>
      </w:tr>
      <w:tr>
        <w:tc>
          <w:tcPr>
            <w:tcW w:type="dxa" w:w="3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Definition</w:t>
            </w:r>
          </w:p>
        </w:tc>
        <w:tc>
          <w:tcPr>
            <w:tcW w:type="dxa" w:w="62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Settlements lying between 15 and 25 kilometres of an international boundary</w:t>
            </w:r>
          </w:p>
        </w:tc>
      </w:tr>
      <w:tr>
        <w:tc>
          <w:tcPr>
            <w:tcW w:type="dxa" w:w="3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Population</w:t>
            </w:r>
          </w:p>
        </w:tc>
        <w:tc>
          <w:tcPr>
            <w:tcW w:type="dxa" w:w="62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20+ million Nigerians — approximately 14% of the national population</w:t>
            </w:r>
          </w:p>
        </w:tc>
      </w:tr>
      <w:tr>
        <w:tc>
          <w:tcPr>
            <w:tcW w:type="dxa" w:w="3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Comparison</w:t>
            </w:r>
          </w:p>
        </w:tc>
        <w:tc>
          <w:tcPr>
            <w:tcW w:type="dxa" w:w="62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Larger than the population of Lagos State; larger than the population of Rwanda, Guinea or Benin Republic</w:t>
            </w:r>
          </w:p>
        </w:tc>
      </w:tr>
    </w:tbl>
    <w:p>
      <w:pPr>
        <w:pStyle w:val="Heading2"/>
        <w:keepNext/>
        <w:spacing w:after="110" w:before="260"/>
      </w:pPr>
      <w:r>
        <w:rPr>
          <w:rFonts w:ascii="Calibri" w:cs="Calibri" w:eastAsia="Calibri" w:hAnsi="Calibri"/>
          <w:b/>
          <w:bCs/>
          <w:color w:val="0B6E4F"/>
          <w:sz w:val="24"/>
          <w:szCs w:val="24"/>
        </w:rPr>
        <w:t xml:space="preserve">2.2  The crisis of allegiance</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In February 2026, the Senate Committee on States and Local Government Affairs placed the matter before the nation in unusually direct terms. Its Chairman observed that because facilities are not provided for border communities, those communities sometimes give their allegiance to neighbouring countries — crossing over to obtain schooling, and in some cases crossing simply to fetch water.</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Committee had made a special provision of ₦50 billion for the Border Communities Development Agency, and reported that the funds had not been released. A comparable allocation was made in the following budget cycle. The intent of the Federal Government is therefore not in question. What has been missing is not political will, and not even money. What has been missing is a credible, granular, georeferenced picture of where the need actually is, and a delivery vehicle trusted enough to carry help the final ten kilometres.</w:t>
      </w:r>
    </w:p>
    <w:tbl>
      <w:tblPr>
        <w:tblW w:type="dxa" w:w="9638"/>
        <w:tblBorders>
          <w:top w:val="single" w:color="0B6E4F" w:sz="4"/>
          <w:left w:val="single" w:color="0B6E4F" w:sz="24"/>
          <w:bottom w:val="single" w:color="0B6E4F" w:sz="4"/>
          <w:right w:val="single" w:color="0B6E4F" w:sz="4"/>
          <w:insideH w:val="none"/>
          <w:insideV w:val="none"/>
        </w:tblBorders>
      </w:tblPr>
      <w:tblGrid>
        <w:gridCol w:w="9638"/>
      </w:tblGrid>
      <w:tr>
        <w:tc>
          <w:tcPr>
            <w:tcW w:type="dxa" w:w="9638"/>
            <w:shd w:fill="F5F4EE" w:color="auto" w:val="clear"/>
            <w:tcMar>
              <w:top w:type="dxa" w:w="200"/>
              <w:left w:type="dxa" w:w="240"/>
              <w:bottom w:type="dxa" w:w="200"/>
              <w:right w:type="dxa" w:w="200"/>
            </w:tcMar>
          </w:tcPr>
          <w:p>
            <w:pPr>
              <w:keepNext w:val="false"/>
              <w:spacing w:after="100" w:before="0" w:line="264"/>
              <w:jc w:val="left"/>
            </w:pPr>
            <w:r>
              <w:rPr>
                <w:rFonts w:ascii="Calibri" w:cs="Calibri" w:eastAsia="Calibri" w:hAnsi="Calibri"/>
                <w:b/>
                <w:bCs/>
                <w:i w:val="false"/>
                <w:iCs w:val="false"/>
                <w:color w:val="0B6E4F"/>
                <w:sz w:val="18"/>
                <w:szCs w:val="18"/>
              </w:rPr>
              <w:t xml:space="preserve">A note on why the data matters</w:t>
            </w:r>
          </w:p>
          <w:p>
            <w:pPr>
              <w:keepNext w:val="false"/>
              <w:spacing w:after="0" w:before="0" w:line="264"/>
              <w:jc w:val="left"/>
            </w:pPr>
            <w:r>
              <w:rPr>
                <w:rFonts w:ascii="Calibri" w:cs="Calibri" w:eastAsia="Calibri" w:hAnsi="Calibri"/>
                <w:b w:val="false"/>
                <w:bCs w:val="false"/>
                <w:i w:val="false"/>
                <w:iCs w:val="false"/>
                <w:color w:val="20211F"/>
                <w:sz w:val="20"/>
                <w:szCs w:val="20"/>
              </w:rPr>
              <w:t xml:space="preserve">In January 2026, independent budget analysis compared border-community allocations line by line against the official register of recognised border communities, and found that a substantial share had been assigned to locations that do not lie on any international boundary. The finding is best read not as an accusation but as a diagnosis: in the absence of an authoritative, georeferenced community register, allocation drifts toward wherever a request is loudest. The Renewed Hope Frontier Programme begins by fixing that underlying data problem — which is precisely why Phase 0 must come first.</w:t>
            </w:r>
          </w:p>
        </w:tc>
      </w:tr>
    </w:tbl>
    <w:p>
      <w:pPr>
        <w:pStyle w:val="Heading2"/>
        <w:keepNext/>
        <w:spacing w:after="110" w:before="260"/>
      </w:pPr>
      <w:r>
        <w:rPr>
          <w:rFonts w:ascii="Calibri" w:cs="Calibri" w:eastAsia="Calibri" w:hAnsi="Calibri"/>
          <w:b/>
          <w:bCs/>
          <w:color w:val="0B6E4F"/>
          <w:sz w:val="24"/>
          <w:szCs w:val="24"/>
        </w:rPr>
        <w:t xml:space="preserve">2.3  What the neglect costs Nigeria</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frontier is not a humanitarian question alone. It is a national security question, an economic question, and a question of national identity.</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2500"/>
        <w:gridCol w:w="7138"/>
      </w:tblGrid>
      <w:tr>
        <w:trPr>
          <w:tblHeader/>
        </w:trPr>
        <w:tc>
          <w:tcPr>
            <w:tcW w:type="dxa" w:w="25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Cost</w:t>
            </w:r>
          </w:p>
        </w:tc>
        <w:tc>
          <w:tcPr>
            <w:tcW w:type="dxa" w:w="71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How it presents</w:t>
            </w:r>
          </w:p>
        </w:tc>
      </w:tr>
      <w:tr>
        <w:tc>
          <w:tcPr>
            <w:tcW w:type="dxa" w:w="25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Security</w:t>
            </w:r>
          </w:p>
        </w:tc>
        <w:tc>
          <w:tcPr>
            <w:tcW w:type="dxa" w:w="71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Undergoverned space becomes staging ground. Armed groups recruit where the State is invisible and retreat across boundaries where neither government maintains a credible presence. Every kilometre of frontier without a school, a clinic and a road is a kilometre available to somebody else.</w:t>
            </w:r>
          </w:p>
        </w:tc>
      </w:tr>
      <w:tr>
        <w:tc>
          <w:tcPr>
            <w:tcW w:type="dxa" w:w="25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Sovereignty</w:t>
            </w:r>
          </w:p>
        </w:tc>
        <w:tc>
          <w:tcPr>
            <w:tcW w:type="dxa" w:w="71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Communities that depend on a neighbouring country for water, medicine and schooling gradually reorient their economic and civic life across the line. Children return home speaking another nation’s language and singing another nation’s anthem.</w:t>
            </w:r>
          </w:p>
        </w:tc>
      </w:tr>
      <w:tr>
        <w:tc>
          <w:tcPr>
            <w:tcW w:type="dxa" w:w="25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Public health</w:t>
            </w:r>
          </w:p>
        </w:tc>
        <w:tc>
          <w:tcPr>
            <w:tcW w:type="dxa" w:w="71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Cross-border movement without surveillance means outbreaks arrive in Nigeria before Nigeria knows they exist. Maternal deaths occur on the road, unrecorded, because the nearest functioning facility is in another country.</w:t>
            </w:r>
          </w:p>
        </w:tc>
      </w:tr>
      <w:tr>
        <w:tc>
          <w:tcPr>
            <w:tcW w:type="dxa" w:w="25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Legal invisibility</w:t>
            </w:r>
          </w:p>
        </w:tc>
        <w:tc>
          <w:tcPr>
            <w:tcW w:type="dxa" w:w="71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A Nigerian child delivered across the border, in a facility with no link to Nigeria’s civil registration system, may reach adulthood with no birth certificate, no National Identification Number, and no documentary proof of citizenship. A citizen the State cannot see is a citizen the State cannot serve.</w:t>
            </w:r>
          </w:p>
        </w:tc>
      </w:tr>
      <w:tr>
        <w:tc>
          <w:tcPr>
            <w:tcW w:type="dxa" w:w="25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Economy</w:t>
            </w:r>
          </w:p>
        </w:tc>
        <w:tc>
          <w:tcPr>
            <w:tcW w:type="dxa" w:w="71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3,053 kilometres of frontier is 3,053 kilometres of potential trade corridor. Informal cross-border trade already flows through these communities. Formalised, it is a revenue base. Neglected, it is a smuggling economy.</w:t>
            </w:r>
          </w:p>
        </w:tc>
      </w:tr>
    </w:tbl>
    <w:p>
      <w:pPr>
        <w:pStyle w:val="Heading2"/>
        <w:keepNext/>
        <w:spacing w:after="110" w:before="260"/>
      </w:pPr>
      <w:r>
        <w:rPr>
          <w:rFonts w:ascii="Calibri" w:cs="Calibri" w:eastAsia="Calibri" w:hAnsi="Calibri"/>
          <w:b/>
          <w:bCs/>
          <w:color w:val="0B6E4F"/>
          <w:sz w:val="24"/>
          <w:szCs w:val="24"/>
        </w:rPr>
        <w:t xml:space="preserve">2.4  Why now</w:t>
      </w:r>
    </w:p>
    <w:p>
      <w:pPr>
        <w:pStyle w:val="ListParagraph"/>
        <w:numPr>
          <w:ilvl w:val="0"/>
          <w:numId w:val="2"/>
        </w:numPr>
        <w:spacing w:after="80" w:before="0" w:line="264"/>
        <w:jc w:val="left"/>
      </w:pPr>
      <w:r>
        <w:rPr>
          <w:rFonts w:ascii="Calibri" w:cs="Calibri" w:eastAsia="Calibri" w:hAnsi="Calibri"/>
          <w:b/>
          <w:bCs/>
          <w:color w:val="20211F"/>
          <w:sz w:val="21"/>
          <w:szCs w:val="21"/>
        </w:rPr>
        <w:t xml:space="preserve">The money is already appropriated. </w:t>
      </w:r>
      <w:r>
        <w:rPr>
          <w:rFonts w:ascii="Calibri" w:cs="Calibri" w:eastAsia="Calibri" w:hAnsi="Calibri"/>
          <w:color w:val="20211F"/>
          <w:sz w:val="21"/>
          <w:szCs w:val="21"/>
        </w:rPr>
        <w:t xml:space="preserve">A ₦50 billion allocation for border community development exists in the current budget cycle. What is needed is an evidence base robust enough to direct it well, and a delivery partner able to reach the last village.</w:t>
      </w:r>
    </w:p>
    <w:p>
      <w:pPr>
        <w:pStyle w:val="ListParagraph"/>
        <w:numPr>
          <w:ilvl w:val="0"/>
          <w:numId w:val="2"/>
        </w:numPr>
        <w:spacing w:after="80" w:before="0" w:line="264"/>
        <w:jc w:val="left"/>
      </w:pPr>
      <w:r>
        <w:rPr>
          <w:rFonts w:ascii="Calibri" w:cs="Calibri" w:eastAsia="Calibri" w:hAnsi="Calibri"/>
          <w:b/>
          <w:bCs/>
          <w:color w:val="20211F"/>
          <w:sz w:val="21"/>
          <w:szCs w:val="21"/>
        </w:rPr>
        <w:t xml:space="preserve">The legislature is already moving. </w:t>
      </w:r>
      <w:r>
        <w:rPr>
          <w:rFonts w:ascii="Calibri" w:cs="Calibri" w:eastAsia="Calibri" w:hAnsi="Calibri"/>
          <w:color w:val="20211F"/>
          <w:sz w:val="21"/>
          <w:szCs w:val="21"/>
        </w:rPr>
        <w:t xml:space="preserve">A Bill to amend the Border Communities Development Agency Act, to make provision for additional border communities, passed Second Reading in the Senate in June 2026. An authoritative national register produced now would arrive exactly when the National Assembly needs it.</w:t>
      </w:r>
    </w:p>
    <w:p>
      <w:pPr>
        <w:pStyle w:val="ListParagraph"/>
        <w:numPr>
          <w:ilvl w:val="0"/>
          <w:numId w:val="2"/>
        </w:numPr>
        <w:spacing w:after="80" w:before="0" w:line="264"/>
        <w:jc w:val="left"/>
      </w:pPr>
      <w:r>
        <w:rPr>
          <w:rFonts w:ascii="Calibri" w:cs="Calibri" w:eastAsia="Calibri" w:hAnsi="Calibri"/>
          <w:b/>
          <w:bCs/>
          <w:color w:val="20211F"/>
          <w:sz w:val="21"/>
          <w:szCs w:val="21"/>
        </w:rPr>
        <w:t xml:space="preserve">The Renewed Hope Initiative is at full national reach. </w:t>
      </w:r>
      <w:r>
        <w:rPr>
          <w:rFonts w:ascii="Calibri" w:cs="Calibri" w:eastAsia="Calibri" w:hAnsi="Calibri"/>
          <w:color w:val="20211F"/>
          <w:sz w:val="21"/>
          <w:szCs w:val="21"/>
        </w:rPr>
        <w:t xml:space="preserve">Three years in, RHI operates across all 36 States and the Federal Capital Territory, with a functioning partnership with the Nigeria Governors’ Spouses Forum. The distribution network required for this Programme already exists.</w:t>
      </w:r>
    </w:p>
    <w:p>
      <w:pPr>
        <w:pStyle w:val="ListParagraph"/>
        <w:numPr>
          <w:ilvl w:val="0"/>
          <w:numId w:val="2"/>
        </w:numPr>
        <w:spacing w:after="80" w:before="0" w:line="264"/>
        <w:jc w:val="left"/>
      </w:pPr>
      <w:r>
        <w:rPr>
          <w:rFonts w:ascii="Calibri" w:cs="Calibri" w:eastAsia="Calibri" w:hAnsi="Calibri"/>
          <w:b/>
          <w:bCs/>
          <w:color w:val="20211F"/>
          <w:sz w:val="21"/>
          <w:szCs w:val="21"/>
        </w:rPr>
        <w:t xml:space="preserve">The technology is ready and Nigerian. </w:t>
      </w:r>
      <w:r>
        <w:rPr>
          <w:rFonts w:ascii="Calibri" w:cs="Calibri" w:eastAsia="Calibri" w:hAnsi="Calibri"/>
          <w:color w:val="20211F"/>
          <w:sz w:val="21"/>
          <w:szCs w:val="21"/>
        </w:rPr>
        <w:t xml:space="preserve">The digital service platforms required to deliver health screening, maternal support, outbreak detection and social-needs navigation over basic phones, in local languages, have already been built — by a Nigerian-founded team, for Nigerian conditions. This Programme does not have to invent them.</w:t>
      </w:r>
    </w:p>
    <w:p>
      <w:r>
        <w:br w:type="page"/>
      </w:r>
    </w:p>
    <w:p>
      <w:pPr>
        <w:pStyle w:val="Heading1"/>
        <w:keepNext/>
        <w:pBdr>
          <w:bottom w:val="single" w:color="0B6E4F" w:sz="10" w:space="6"/>
        </w:pBdr>
        <w:spacing w:after="160" w:before="360"/>
      </w:pPr>
      <w:r>
        <w:rPr>
          <w:rFonts w:ascii="Calibri" w:cs="Calibri" w:eastAsia="Calibri" w:hAnsi="Calibri"/>
          <w:b/>
          <w:bCs/>
          <w:color w:val="07452F"/>
          <w:sz w:val="30"/>
          <w:szCs w:val="30"/>
        </w:rPr>
        <w:t xml:space="preserve">3.  Alignment with the Renewed Hope Agenda</w:t>
      </w:r>
    </w:p>
    <w:p>
      <w:pPr>
        <w:pStyle w:val="Heading2"/>
        <w:keepNext/>
        <w:spacing w:after="110" w:before="260"/>
      </w:pPr>
      <w:r>
        <w:rPr>
          <w:rFonts w:ascii="Calibri" w:cs="Calibri" w:eastAsia="Calibri" w:hAnsi="Calibri"/>
          <w:b/>
          <w:bCs/>
          <w:color w:val="0B6E4F"/>
          <w:sz w:val="24"/>
          <w:szCs w:val="24"/>
        </w:rPr>
        <w:t xml:space="preserve">3.1  The President’s eight priority areas</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Renewed Hope Agenda of President Bola Ahmed Tinubu, GCFR, rests on eight priority areas. The Renewed Hope Frontier Programme contributes directly to seven of them, and does so in the geography where each is hardest to achieve.</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3000"/>
        <w:gridCol w:w="6638"/>
      </w:tblGrid>
      <w:tr>
        <w:trPr>
          <w:tblHeader/>
        </w:trPr>
        <w:tc>
          <w:tcPr>
            <w:tcW w:type="dxa" w:w="30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Presidential priority</w:t>
            </w:r>
          </w:p>
        </w:tc>
        <w:tc>
          <w:tcPr>
            <w:tcW w:type="dxa" w:w="66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Frontier Programme contribution</w:t>
            </w:r>
          </w:p>
        </w:tc>
      </w:tr>
      <w:tr>
        <w:tc>
          <w:tcPr>
            <w:tcW w:type="dxa" w:w="3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Food security</w:t>
            </w:r>
          </w:p>
        </w:tc>
        <w:tc>
          <w:tcPr>
            <w:tcW w:type="dxa" w:w="66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Frontier agricultural inputs, irrigation from solar boreholes, and cross-border market formalisation in communities that sit on the most fertile and most under-served land in Nigeria.</w:t>
            </w:r>
          </w:p>
        </w:tc>
      </w:tr>
      <w:tr>
        <w:tc>
          <w:tcPr>
            <w:tcW w:type="dxa" w:w="30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Ending poverty</w:t>
            </w:r>
          </w:p>
        </w:tc>
        <w:tc>
          <w:tcPr>
            <w:tcW w:type="dxa" w:w="66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Targeted livelihood grants, savings groups and skills programmes in the communities with the deepest measured deprivation in the Federation.</w:t>
            </w:r>
          </w:p>
        </w:tc>
      </w:tr>
      <w:tr>
        <w:tc>
          <w:tcPr>
            <w:tcW w:type="dxa" w:w="3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Economic growth and job creation</w:t>
            </w:r>
          </w:p>
        </w:tc>
        <w:tc>
          <w:tcPr>
            <w:tcW w:type="dxa" w:w="66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Border market development converting informal cross-border trade into recorded, taxable, protected commerce; local employment of the Frontier Hope Ambassador cadre.</w:t>
            </w:r>
          </w:p>
        </w:tc>
      </w:tr>
      <w:tr>
        <w:tc>
          <w:tcPr>
            <w:tcW w:type="dxa" w:w="30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Access to capital</w:t>
            </w:r>
          </w:p>
        </w:tc>
        <w:tc>
          <w:tcPr>
            <w:tcW w:type="dxa" w:w="66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Micro-credit and digitally-delivered credit reaching households that currently have no access to any formal financial institution.</w:t>
            </w:r>
          </w:p>
        </w:tc>
      </w:tr>
      <w:tr>
        <w:tc>
          <w:tcPr>
            <w:tcW w:type="dxa" w:w="3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Improving security</w:t>
            </w:r>
          </w:p>
        </w:tc>
        <w:tc>
          <w:tcPr>
            <w:tcW w:type="dxa" w:w="66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Reducing undergoverned space by making the Nigerian State visible, useful and present — the most durable and least expensive form of border security available.</w:t>
            </w:r>
          </w:p>
        </w:tc>
      </w:tr>
      <w:tr>
        <w:tc>
          <w:tcPr>
            <w:tcW w:type="dxa" w:w="30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Inclusivity, particularly women and youth</w:t>
            </w:r>
          </w:p>
        </w:tc>
        <w:tc>
          <w:tcPr>
            <w:tcW w:type="dxa" w:w="66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A Programme designed around women as both principal beneficiaries and principal delivery agents, with a dedicated youth livelihoods track.</w:t>
            </w:r>
          </w:p>
        </w:tc>
      </w:tr>
      <w:tr>
        <w:tc>
          <w:tcPr>
            <w:tcW w:type="dxa" w:w="3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Fighting corruption</w:t>
            </w:r>
          </w:p>
        </w:tc>
        <w:tc>
          <w:tcPr>
            <w:tcW w:type="dxa" w:w="66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Geotagged, photographic, publicly-visible proof of delivery for every intervention, in the spirit of the Presidential Delivery Tracker.</w:t>
            </w:r>
          </w:p>
        </w:tc>
      </w:tr>
    </w:tbl>
    <w:p>
      <w:pPr>
        <w:pStyle w:val="Heading2"/>
        <w:keepNext/>
        <w:spacing w:after="110" w:before="260"/>
      </w:pPr>
      <w:r>
        <w:rPr>
          <w:rFonts w:ascii="Calibri" w:cs="Calibri" w:eastAsia="Calibri" w:hAnsi="Calibri"/>
          <w:b/>
          <w:bCs/>
          <w:color w:val="0B6E4F"/>
          <w:sz w:val="24"/>
          <w:szCs w:val="24"/>
        </w:rPr>
        <w:t xml:space="preserve">3.2  The Renewed Hope Initiative’s five pillars</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Renewed Hope Initiative delivers through five strategic pillars: Agriculture, Economic Empowerment, Social Investment, Health and Education. The Frontier Programme is not a departure from that architecture. It is the same architecture, applied to the one geography that has been hardest for any national programme to reach.</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2400"/>
        <w:gridCol w:w="7238"/>
      </w:tblGrid>
      <w:tr>
        <w:trPr>
          <w:tblHeader/>
        </w:trPr>
        <w:tc>
          <w:tcPr>
            <w:tcW w:type="dxa" w:w="24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RHI pillar</w:t>
            </w:r>
          </w:p>
        </w:tc>
        <w:tc>
          <w:tcPr>
            <w:tcW w:type="dxa" w:w="72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Frontier application</w:t>
            </w:r>
          </w:p>
        </w:tc>
      </w:tr>
      <w:tr>
        <w:tc>
          <w:tcPr>
            <w:tcW w:type="dxa" w:w="2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Agriculture</w:t>
            </w:r>
          </w:p>
        </w:tc>
        <w:tc>
          <w:tcPr>
            <w:tcW w:type="dxa" w:w="72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Frontier farmer support packages, solar-powered irrigation, post-harvest storage at border markets, and dry-season farming in the Sahel frontier belt.</w:t>
            </w:r>
          </w:p>
        </w:tc>
      </w:tr>
      <w:tr>
        <w:tc>
          <w:tcPr>
            <w:tcW w:type="dxa" w:w="2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Economic Empowerment</w:t>
            </w:r>
          </w:p>
        </w:tc>
        <w:tc>
          <w:tcPr>
            <w:tcW w:type="dxa" w:w="72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Livelihood grants and equipment for frontier women’s cooperatives; formalised border trade; youth vocational centres sited in border LGAs.</w:t>
            </w:r>
          </w:p>
        </w:tc>
      </w:tr>
      <w:tr>
        <w:tc>
          <w:tcPr>
            <w:tcW w:type="dxa" w:w="2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Social Investment</w:t>
            </w:r>
          </w:p>
        </w:tc>
        <w:tc>
          <w:tcPr>
            <w:tcW w:type="dxa" w:w="72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Food outreach and social relief calibrated to the measured Frontier Vulnerability Index score rather than to proximity to a main road.</w:t>
            </w:r>
          </w:p>
        </w:tc>
      </w:tr>
      <w:tr>
        <w:tc>
          <w:tcPr>
            <w:tcW w:type="dxa" w:w="2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Health</w:t>
            </w:r>
          </w:p>
        </w:tc>
        <w:tc>
          <w:tcPr>
            <w:tcW w:type="dxa" w:w="72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The Frontier Mother &amp; Child Corridor; cervical cancer screening and HPV vaccination extended to the frontier; digital primary care over basic phones.</w:t>
            </w:r>
          </w:p>
        </w:tc>
      </w:tr>
      <w:tr>
        <w:tc>
          <w:tcPr>
            <w:tcW w:type="dxa" w:w="2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Education</w:t>
            </w:r>
          </w:p>
        </w:tc>
        <w:tc>
          <w:tcPr>
            <w:tcW w:type="dxa" w:w="72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Classroom rehabilitation, teacher deployment incentives, school feeding, and a targeted campaign to return frontier children from foreign-language schooling to the Nigerian curriculum.</w:t>
            </w:r>
          </w:p>
        </w:tc>
      </w:tr>
    </w:tbl>
    <w:p>
      <w:pPr>
        <w:pStyle w:val="Heading2"/>
        <w:keepNext/>
        <w:spacing w:after="110" w:before="260"/>
      </w:pPr>
      <w:r>
        <w:rPr>
          <w:rFonts w:ascii="Calibri" w:cs="Calibri" w:eastAsia="Calibri" w:hAnsi="Calibri"/>
          <w:b/>
          <w:bCs/>
          <w:color w:val="0B6E4F"/>
          <w:sz w:val="24"/>
          <w:szCs w:val="24"/>
        </w:rPr>
        <w:t xml:space="preserve">3.3  Extending two initiatives Her Excellency has already begun</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This Programme does not ask Her Excellency to begin something new. It asks her to carry two things she has already begun to the one place they have not yet reached.</w:t>
      </w:r>
    </w:p>
    <w:p>
      <w:pPr>
        <w:pStyle w:val="Heading3"/>
        <w:keepNext/>
        <w:spacing w:after="90" w:before="200"/>
      </w:pPr>
      <w:r>
        <w:rPr>
          <w:rFonts w:ascii="Calibri" w:cs="Calibri" w:eastAsia="Calibri" w:hAnsi="Calibri"/>
          <w:b/>
          <w:bCs/>
          <w:color w:val="20211F"/>
          <w:sz w:val="21"/>
          <w:szCs w:val="21"/>
        </w:rPr>
        <w:t xml:space="preserve">Birth registration</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In August 2024, Her Excellency launched the Renewed Hope Initiative project to accelerate birth registration at scale, in partnership with UNICEF, the National Population Commission, the Federal Ministry of Health and Social Welfare and the National Identity Management Commission. Her Excellency framed the purpose precisely: that Nigeria’s children must have their rights and privileges guaranteed from the very beginning.</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Nowhere in Nigeria is that guarantee weaker than at the frontier. A child born in a Cameroonian or Nigerien facility to Nigerian parents, in a community with no registration point, has no document to establish what everybody in the village knows: that the child is Nigerian. The Frontier Programme establishes registration points in every intervention community and integrates them into the existing national drive. This is the highest-yield place in Nigeria to extend a birth registration campaign, because it is the only place where the absence of the document also erodes the claim to the nationality.</w:t>
      </w:r>
    </w:p>
    <w:p>
      <w:pPr>
        <w:pStyle w:val="Heading3"/>
        <w:keepNext/>
        <w:spacing w:after="90" w:before="200"/>
      </w:pPr>
      <w:r>
        <w:rPr>
          <w:rFonts w:ascii="Calibri" w:cs="Calibri" w:eastAsia="Calibri" w:hAnsi="Calibri"/>
          <w:b/>
          <w:bCs/>
          <w:color w:val="20211F"/>
          <w:sz w:val="21"/>
          <w:szCs w:val="21"/>
        </w:rPr>
        <w:t xml:space="preserve">The campaign against cervical cancer</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Renewed Hope Initiative has committed ₦1 billion to the National Cancer Fund and, working with the Nigeria Governors’ Spouses Forum, has driven screening, HPV vaccination and stigma reduction across the six geopolitical zones. Her Excellency’s own framing of the reason is the one this Programme adopts throughout: “a healthy nation is a wealthy nation”.</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Frontier women are the least screened women in Nigeria. They are also the most reachable by a phone-based screening and triage system, because a basic handset is the one piece of infrastructure the frontier already has. The Programme extends the national cancer campaign to the border using tools designed for exactly these conditions.</w:t>
      </w:r>
    </w:p>
    <w:p>
      <w:r>
        <w:br w:type="page"/>
      </w:r>
    </w:p>
    <w:p>
      <w:pPr>
        <w:pStyle w:val="Heading1"/>
        <w:keepNext/>
        <w:pBdr>
          <w:bottom w:val="single" w:color="0B6E4F" w:sz="10" w:space="6"/>
        </w:pBdr>
        <w:spacing w:after="160" w:before="360"/>
      </w:pPr>
      <w:r>
        <w:rPr>
          <w:rFonts w:ascii="Calibri" w:cs="Calibri" w:eastAsia="Calibri" w:hAnsi="Calibri"/>
          <w:b/>
          <w:bCs/>
          <w:color w:val="07452F"/>
          <w:sz w:val="30"/>
          <w:szCs w:val="30"/>
        </w:rPr>
        <w:t xml:space="preserve">4.  Assessing the Vulnerabilities: The Frontier Vulnerability Index</w:t>
      </w:r>
    </w:p>
    <w:tbl>
      <w:tblPr>
        <w:tblW w:type="dxa" w:w="9638"/>
        <w:tblBorders>
          <w:top w:val="single" w:color="0B6E4F" w:sz="4"/>
          <w:left w:val="single" w:color="0B6E4F" w:sz="24"/>
          <w:bottom w:val="single" w:color="0B6E4F" w:sz="4"/>
          <w:right w:val="single" w:color="0B6E4F" w:sz="4"/>
          <w:insideH w:val="none"/>
          <w:insideV w:val="none"/>
        </w:tblBorders>
      </w:tblPr>
      <w:tblGrid>
        <w:gridCol w:w="9638"/>
      </w:tblGrid>
      <w:tr>
        <w:tc>
          <w:tcPr>
            <w:tcW w:type="dxa" w:w="9638"/>
            <w:shd w:fill="F5F4EE" w:color="auto" w:val="clear"/>
            <w:tcMar>
              <w:top w:type="dxa" w:w="200"/>
              <w:left w:type="dxa" w:w="240"/>
              <w:bottom w:type="dxa" w:w="200"/>
              <w:right w:type="dxa" w:w="200"/>
            </w:tcMar>
          </w:tcPr>
          <w:p>
            <w:pPr>
              <w:keepNext w:val="false"/>
              <w:spacing w:after="0" w:before="0" w:line="264"/>
              <w:jc w:val="center"/>
            </w:pPr>
            <w:r>
              <w:rPr>
                <w:rFonts w:ascii="Calibri" w:cs="Calibri" w:eastAsia="Calibri" w:hAnsi="Calibri"/>
                <w:b/>
                <w:bCs/>
                <w:i w:val="false"/>
                <w:iCs w:val="false"/>
                <w:color w:val="07452F"/>
                <w:sz w:val="24"/>
                <w:szCs w:val="24"/>
              </w:rPr>
              <w:t xml:space="preserve">Nigeria cannot fix what Nigeria has never measured.</w:t>
            </w:r>
          </w:p>
        </w:tc>
      </w:tr>
    </w:tbl>
    <w:p>
      <w:pPr>
        <w:pStyle w:val="Heading2"/>
        <w:keepNext/>
        <w:spacing w:after="110" w:before="260"/>
      </w:pPr>
      <w:r>
        <w:rPr>
          <w:rFonts w:ascii="Calibri" w:cs="Calibri" w:eastAsia="Calibri" w:hAnsi="Calibri"/>
          <w:b/>
          <w:bCs/>
          <w:color w:val="0B6E4F"/>
          <w:sz w:val="24"/>
          <w:szCs w:val="24"/>
        </w:rPr>
        <w:t xml:space="preserve">4.1  The problem this solves</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There is presently no instrument in Nigeria that allows the Federal Government, a State Government or a development partner to answer a simple question: which of the 2,000-plus border communities is worst off, and by how much? Lists exist. Registers exist. What does not exist is a comparable, defensible score, attached to a verified GPS coordinate, that permits communities to be ranked and resources to be assigned on need rather than on advocacy.</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Frontier Vulnerability Index is that instrument. It is the central intellectual contribution of this Programme and the reason Phase 0 must precede all spending. Once it exists, it becomes national infrastructure — usable by the Border Communities Development Agency, the National Boundary Commission, the National Assembly, State Governments, and every partner who has ever wanted to help the frontier and not known where to start.</w:t>
      </w:r>
    </w:p>
    <w:p>
      <w:pPr>
        <w:pStyle w:val="Heading2"/>
        <w:keepNext/>
        <w:spacing w:after="110" w:before="260"/>
      </w:pPr>
      <w:r>
        <w:rPr>
          <w:rFonts w:ascii="Calibri" w:cs="Calibri" w:eastAsia="Calibri" w:hAnsi="Calibri"/>
          <w:b/>
          <w:bCs/>
          <w:color w:val="0B6E4F"/>
          <w:sz w:val="24"/>
          <w:szCs w:val="24"/>
        </w:rPr>
        <w:t xml:space="preserve">4.2  The eight domains</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FVI scores each community from 0 to 100 across eight weighted domains. A lower score indicates greater vulnerability.</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600"/>
        <w:gridCol w:w="2400"/>
        <w:gridCol w:w="5238"/>
        <w:gridCol w:w="1400"/>
      </w:tblGrid>
      <w:tr>
        <w:trPr>
          <w:tblHeader/>
        </w:trPr>
        <w:tc>
          <w:tcPr>
            <w:tcW w:type="dxa" w:w="6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w:t>
            </w:r>
          </w:p>
        </w:tc>
        <w:tc>
          <w:tcPr>
            <w:tcW w:type="dxa" w:w="24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Domain</w:t>
            </w:r>
          </w:p>
        </w:tc>
        <w:tc>
          <w:tcPr>
            <w:tcW w:type="dxa" w:w="52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What is measured</w:t>
            </w:r>
          </w:p>
        </w:tc>
        <w:tc>
          <w:tcPr>
            <w:tcW w:type="dxa" w:w="14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Weight</w:t>
            </w:r>
          </w:p>
        </w:tc>
      </w:tr>
      <w:tr>
        <w:tc>
          <w:tcPr>
            <w:tcW w:type="dxa" w:w="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1</w:t>
            </w:r>
          </w:p>
        </w:tc>
        <w:tc>
          <w:tcPr>
            <w:tcW w:type="dxa" w:w="2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Water &amp; Sanitation</w:t>
            </w:r>
          </w:p>
        </w:tc>
        <w:tc>
          <w:tcPr>
            <w:tcW w:type="dxa" w:w="52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Distance to nearest safe water point; functionality; whether any household crosses an international border to fetch water; sanitation coverage</w:t>
            </w:r>
          </w:p>
        </w:tc>
        <w:tc>
          <w:tcPr>
            <w:tcW w:type="dxa" w:w="1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15%</w:t>
            </w:r>
          </w:p>
        </w:tc>
      </w:tr>
      <w:tr>
        <w:tc>
          <w:tcPr>
            <w:tcW w:type="dxa" w:w="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2</w:t>
            </w:r>
          </w:p>
        </w:tc>
        <w:tc>
          <w:tcPr>
            <w:tcW w:type="dxa" w:w="2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Health Access</w:t>
            </w:r>
          </w:p>
        </w:tc>
        <w:tc>
          <w:tcPr>
            <w:tcW w:type="dxa" w:w="52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Distance to nearest functioning primary health facility; staffing; skilled birth attendance; whether deliveries occur across the border</w:t>
            </w:r>
          </w:p>
        </w:tc>
        <w:tc>
          <w:tcPr>
            <w:tcW w:type="dxa" w:w="1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18%</w:t>
            </w:r>
          </w:p>
        </w:tc>
      </w:tr>
      <w:tr>
        <w:tc>
          <w:tcPr>
            <w:tcW w:type="dxa" w:w="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3</w:t>
            </w:r>
          </w:p>
        </w:tc>
        <w:tc>
          <w:tcPr>
            <w:tcW w:type="dxa" w:w="2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Education</w:t>
            </w:r>
          </w:p>
        </w:tc>
        <w:tc>
          <w:tcPr>
            <w:tcW w:type="dxa" w:w="52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Presence and condition of schools; out-of-school rate; proportion of children schooled in a neighbouring country; language of instruction</w:t>
            </w:r>
          </w:p>
        </w:tc>
        <w:tc>
          <w:tcPr>
            <w:tcW w:type="dxa" w:w="1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15%</w:t>
            </w:r>
          </w:p>
        </w:tc>
      </w:tr>
      <w:tr>
        <w:tc>
          <w:tcPr>
            <w:tcW w:type="dxa" w:w="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4</w:t>
            </w:r>
          </w:p>
        </w:tc>
        <w:tc>
          <w:tcPr>
            <w:tcW w:type="dxa" w:w="2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Infrastructure &amp; Energy</w:t>
            </w:r>
          </w:p>
        </w:tc>
        <w:tc>
          <w:tcPr>
            <w:tcW w:type="dxa" w:w="52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Road access in the wet season; bridge condition; electricity and mobile network coverage</w:t>
            </w:r>
          </w:p>
        </w:tc>
        <w:tc>
          <w:tcPr>
            <w:tcW w:type="dxa" w:w="1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12%</w:t>
            </w:r>
          </w:p>
        </w:tc>
      </w:tr>
      <w:tr>
        <w:tc>
          <w:tcPr>
            <w:tcW w:type="dxa" w:w="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5</w:t>
            </w:r>
          </w:p>
        </w:tc>
        <w:tc>
          <w:tcPr>
            <w:tcW w:type="dxa" w:w="2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Livelihoods</w:t>
            </w:r>
          </w:p>
        </w:tc>
        <w:tc>
          <w:tcPr>
            <w:tcW w:type="dxa" w:w="52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Employment, income sources, agricultural support, access to any formal credit</w:t>
            </w:r>
          </w:p>
        </w:tc>
        <w:tc>
          <w:tcPr>
            <w:tcW w:type="dxa" w:w="1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12%</w:t>
            </w:r>
          </w:p>
        </w:tc>
      </w:tr>
      <w:tr>
        <w:tc>
          <w:tcPr>
            <w:tcW w:type="dxa" w:w="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6</w:t>
            </w:r>
          </w:p>
        </w:tc>
        <w:tc>
          <w:tcPr>
            <w:tcW w:type="dxa" w:w="2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Security &amp; Governance</w:t>
            </w:r>
          </w:p>
        </w:tc>
        <w:tc>
          <w:tcPr>
            <w:tcW w:type="dxa" w:w="52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Incident history; presence of any security post; functional local governance; boundary disputes</w:t>
            </w:r>
          </w:p>
        </w:tc>
        <w:tc>
          <w:tcPr>
            <w:tcW w:type="dxa" w:w="1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12%</w:t>
            </w:r>
          </w:p>
        </w:tc>
      </w:tr>
      <w:tr>
        <w:tc>
          <w:tcPr>
            <w:tcW w:type="dxa" w:w="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7</w:t>
            </w:r>
          </w:p>
        </w:tc>
        <w:tc>
          <w:tcPr>
            <w:tcW w:type="dxa" w:w="2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Civic Identity</w:t>
            </w:r>
          </w:p>
        </w:tc>
        <w:tc>
          <w:tcPr>
            <w:tcW w:type="dxa" w:w="52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Birth registration rate; NIN coverage; voter registration; possession of any Nigerian document</w:t>
            </w:r>
          </w:p>
        </w:tc>
        <w:tc>
          <w:tcPr>
            <w:tcW w:type="dxa" w:w="1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10%</w:t>
            </w:r>
          </w:p>
        </w:tc>
      </w:tr>
      <w:tr>
        <w:tc>
          <w:tcPr>
            <w:tcW w:type="dxa" w:w="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8</w:t>
            </w:r>
          </w:p>
        </w:tc>
        <w:tc>
          <w:tcPr>
            <w:tcW w:type="dxa" w:w="2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Cross-Border Dependency</w:t>
            </w:r>
          </w:p>
        </w:tc>
        <w:tc>
          <w:tcPr>
            <w:tcW w:type="dxa" w:w="52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The proportion of households that crossed an international border in the last 12 months to meet a basic need</w:t>
            </w:r>
          </w:p>
        </w:tc>
        <w:tc>
          <w:tcPr>
            <w:tcW w:type="dxa" w:w="1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6%</w:t>
            </w:r>
          </w:p>
        </w:tc>
      </w:tr>
    </w:tbl>
    <w:p>
      <w:pPr>
        <w:pStyle w:val="Heading2"/>
        <w:keepNext/>
        <w:spacing w:after="110" w:before="260"/>
      </w:pPr>
      <w:r>
        <w:rPr>
          <w:rFonts w:ascii="Calibri" w:cs="Calibri" w:eastAsia="Calibri" w:hAnsi="Calibri"/>
          <w:b/>
          <w:bCs/>
          <w:color w:val="0B6E4F"/>
          <w:sz w:val="24"/>
          <w:szCs w:val="24"/>
        </w:rPr>
        <w:t xml:space="preserve">4.3  The signature metric: Cross-Border Dependency Rate</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Domain 8 also functions as the Programme’s headline national indicator. The Cross-Border Dependency Rate (CBDR) is the proportion of households in a border community that crossed an international boundary in the preceding twelve months in order to obtain water, health care or schooling.</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It is a single number that any Nigerian can understand, that no other programme currently reports, and that speaks directly to the concern the Senate raised. Reducing it is the plainest possible expression of the Programme’s purpose: that no Nigerian should have to leave Nigeria to receive what Nigeria owes them.</w:t>
      </w:r>
    </w:p>
    <w:tbl>
      <w:tblPr>
        <w:tblW w:type="dxa" w:w="9638"/>
        <w:tblBorders>
          <w:top w:val="single" w:color="0B6E4F" w:sz="4"/>
          <w:left w:val="single" w:color="0B6E4F" w:sz="24"/>
          <w:bottom w:val="single" w:color="0B6E4F" w:sz="4"/>
          <w:right w:val="single" w:color="0B6E4F" w:sz="4"/>
          <w:insideH w:val="none"/>
          <w:insideV w:val="none"/>
        </w:tblBorders>
      </w:tblPr>
      <w:tblGrid>
        <w:gridCol w:w="9638"/>
      </w:tblGrid>
      <w:tr>
        <w:tc>
          <w:tcPr>
            <w:tcW w:type="dxa" w:w="9638"/>
            <w:shd w:fill="F5F4EE" w:color="auto" w:val="clear"/>
            <w:tcMar>
              <w:top w:type="dxa" w:w="200"/>
              <w:left w:type="dxa" w:w="240"/>
              <w:bottom w:type="dxa" w:w="200"/>
              <w:right w:type="dxa" w:w="200"/>
            </w:tcMar>
          </w:tcPr>
          <w:p>
            <w:pPr>
              <w:keepNext w:val="false"/>
              <w:spacing w:after="100" w:before="0" w:line="264"/>
              <w:jc w:val="left"/>
            </w:pPr>
            <w:r>
              <w:rPr>
                <w:rFonts w:ascii="Calibri" w:cs="Calibri" w:eastAsia="Calibri" w:hAnsi="Calibri"/>
                <w:b/>
                <w:bCs/>
                <w:i w:val="false"/>
                <w:iCs w:val="false"/>
                <w:color w:val="0B6E4F"/>
                <w:sz w:val="18"/>
                <w:szCs w:val="18"/>
              </w:rPr>
              <w:t xml:space="preserve">PROGRAMME TARGET</w:t>
            </w:r>
          </w:p>
          <w:p>
            <w:pPr>
              <w:keepNext w:val="false"/>
              <w:spacing w:after="0" w:before="0" w:line="264"/>
              <w:jc w:val="left"/>
            </w:pPr>
            <w:r>
              <w:rPr>
                <w:rFonts w:ascii="Calibri" w:cs="Calibri" w:eastAsia="Calibri" w:hAnsi="Calibri"/>
                <w:b/>
                <w:bCs/>
                <w:i w:val="false"/>
                <w:iCs w:val="false"/>
                <w:color w:val="20211F"/>
                <w:sz w:val="22"/>
                <w:szCs w:val="22"/>
              </w:rPr>
              <w:t xml:space="preserve">Reduce the Cross-Border Dependency Rate by 50% in every intervention community within 24 months of first delivery, and by 80% within 60 months.</w:t>
            </w:r>
          </w:p>
        </w:tc>
      </w:tr>
    </w:tbl>
    <w:p>
      <w:pPr>
        <w:pStyle w:val="Heading2"/>
        <w:keepNext/>
        <w:spacing w:after="110" w:before="260"/>
      </w:pPr>
      <w:r>
        <w:rPr>
          <w:rFonts w:ascii="Calibri" w:cs="Calibri" w:eastAsia="Calibri" w:hAnsi="Calibri"/>
          <w:b/>
          <w:bCs/>
          <w:color w:val="0B6E4F"/>
          <w:sz w:val="24"/>
          <w:szCs w:val="24"/>
        </w:rPr>
        <w:t xml:space="preserve">4.4  Methodology</w:t>
      </w:r>
    </w:p>
    <w:p>
      <w:pPr>
        <w:pStyle w:val="ListParagraph"/>
        <w:numPr>
          <w:ilvl w:val="0"/>
          <w:numId w:val="3"/>
        </w:numPr>
        <w:spacing w:after="80" w:before="0" w:line="264"/>
      </w:pPr>
      <w:r>
        <w:rPr>
          <w:rFonts w:ascii="Calibri" w:cs="Calibri" w:eastAsia="Calibri" w:hAnsi="Calibri"/>
          <w:b/>
          <w:bCs/>
          <w:color w:val="20211F"/>
          <w:sz w:val="21"/>
          <w:szCs w:val="21"/>
        </w:rPr>
        <w:t xml:space="preserve">Instrument development and validation. </w:t>
      </w:r>
      <w:r>
        <w:rPr>
          <w:rFonts w:ascii="Calibri" w:cs="Calibri" w:eastAsia="Calibri" w:hAnsi="Calibri"/>
          <w:color w:val="20211F"/>
          <w:sz w:val="21"/>
          <w:szCs w:val="21"/>
        </w:rPr>
        <w:t xml:space="preserve">Construction of the FVI instrument, expert review, and cognitive testing with community members in three languages, to ensure the questions mean the same thing in Gembu as they do in Sabon Birni.</w:t>
      </w:r>
    </w:p>
    <w:p>
      <w:pPr>
        <w:pStyle w:val="ListParagraph"/>
        <w:numPr>
          <w:ilvl w:val="0"/>
          <w:numId w:val="3"/>
        </w:numPr>
        <w:spacing w:after="80" w:before="0" w:line="264"/>
      </w:pPr>
      <w:r>
        <w:rPr>
          <w:rFonts w:ascii="Calibri" w:cs="Calibri" w:eastAsia="Calibri" w:hAnsi="Calibri"/>
          <w:b/>
          <w:bCs/>
          <w:color w:val="20211F"/>
          <w:sz w:val="21"/>
          <w:szCs w:val="21"/>
        </w:rPr>
        <w:t xml:space="preserve">Sentinel assessment. </w:t>
      </w:r>
      <w:r>
        <w:rPr>
          <w:rFonts w:ascii="Calibri" w:cs="Calibri" w:eastAsia="Calibri" w:hAnsi="Calibri"/>
          <w:color w:val="20211F"/>
          <w:sz w:val="21"/>
          <w:szCs w:val="21"/>
        </w:rPr>
        <w:t xml:space="preserve">Full field assessment in 21 sentinel communities — one in each border State — selected in consultation with the Border Communities Development Agency and the relevant State Governments.</w:t>
      </w:r>
    </w:p>
    <w:p>
      <w:pPr>
        <w:pStyle w:val="ListParagraph"/>
        <w:numPr>
          <w:ilvl w:val="0"/>
          <w:numId w:val="3"/>
        </w:numPr>
        <w:spacing w:after="80" w:before="0" w:line="264"/>
      </w:pPr>
      <w:r>
        <w:rPr>
          <w:rFonts w:ascii="Calibri" w:cs="Calibri" w:eastAsia="Calibri" w:hAnsi="Calibri"/>
          <w:b/>
          <w:bCs/>
          <w:color w:val="20211F"/>
          <w:sz w:val="21"/>
          <w:szCs w:val="21"/>
        </w:rPr>
        <w:t xml:space="preserve">Georeferencing. </w:t>
      </w:r>
      <w:r>
        <w:rPr>
          <w:rFonts w:ascii="Calibri" w:cs="Calibri" w:eastAsia="Calibri" w:hAnsi="Calibri"/>
          <w:color w:val="20211F"/>
          <w:sz w:val="21"/>
          <w:szCs w:val="21"/>
        </w:rPr>
        <w:t xml:space="preserve">Every assessed settlement fixed to verified GPS coordinates, with satellite validation, in collaboration with the National Space Research and Development Agency and the National Boundary Commission.</w:t>
      </w:r>
    </w:p>
    <w:p>
      <w:pPr>
        <w:pStyle w:val="ListParagraph"/>
        <w:numPr>
          <w:ilvl w:val="0"/>
          <w:numId w:val="3"/>
        </w:numPr>
        <w:spacing w:after="80" w:before="0" w:line="264"/>
      </w:pPr>
      <w:r>
        <w:rPr>
          <w:rFonts w:ascii="Calibri" w:cs="Calibri" w:eastAsia="Calibri" w:hAnsi="Calibri"/>
          <w:b/>
          <w:bCs/>
          <w:color w:val="20211F"/>
          <w:sz w:val="21"/>
          <w:szCs w:val="21"/>
        </w:rPr>
        <w:t xml:space="preserve">Remote scoring at scale. </w:t>
      </w:r>
      <w:r>
        <w:rPr>
          <w:rFonts w:ascii="Calibri" w:cs="Calibri" w:eastAsia="Calibri" w:hAnsi="Calibri"/>
          <w:color w:val="20211F"/>
          <w:sz w:val="21"/>
          <w:szCs w:val="21"/>
        </w:rPr>
        <w:t xml:space="preserve">Extension of scores to the remaining communities using a combination of satellite-derived indicators, mobile network data, existing health and education management information systems, and structured telephone assessment through the Programme’s community reporting channel.</w:t>
      </w:r>
    </w:p>
    <w:p>
      <w:pPr>
        <w:pStyle w:val="ListParagraph"/>
        <w:numPr>
          <w:ilvl w:val="0"/>
          <w:numId w:val="3"/>
        </w:numPr>
        <w:spacing w:after="80" w:before="0" w:line="264"/>
      </w:pPr>
      <w:r>
        <w:rPr>
          <w:rFonts w:ascii="Calibri" w:cs="Calibri" w:eastAsia="Calibri" w:hAnsi="Calibri"/>
          <w:b/>
          <w:bCs/>
          <w:color w:val="20211F"/>
          <w:sz w:val="21"/>
          <w:szCs w:val="21"/>
        </w:rPr>
        <w:t xml:space="preserve">Publication. </w:t>
      </w:r>
      <w:r>
        <w:rPr>
          <w:rFonts w:ascii="Calibri" w:cs="Calibri" w:eastAsia="Calibri" w:hAnsi="Calibri"/>
          <w:color w:val="20211F"/>
          <w:sz w:val="21"/>
          <w:szCs w:val="21"/>
        </w:rPr>
        <w:t xml:space="preserve">The National Frontier Register published as a live, public, searchable dashboard, with the underlying dataset made available to Government agencies at no cost.</w:t>
      </w:r>
    </w:p>
    <w:p>
      <w:pPr>
        <w:keepNext w:val="false"/>
        <w:spacing w:after="120" w:before="120" w:line="276"/>
        <w:jc w:val="both"/>
      </w:pPr>
      <w:r>
        <w:rPr>
          <w:rFonts w:ascii="Calibri" w:cs="Calibri" w:eastAsia="Calibri" w:hAnsi="Calibri"/>
          <w:b w:val="false"/>
          <w:bCs w:val="false"/>
          <w:i w:val="false"/>
          <w:iCs w:val="false"/>
          <w:color w:val="20211F"/>
          <w:sz w:val="21"/>
          <w:szCs w:val="21"/>
        </w:rPr>
        <w:t xml:space="preserve">The assessment is mixed-methods by design. Numbers establish comparability; testimony establishes truth. Every sentinel community assessment includes recorded conversations with mothers, teachers, traditional rulers and young people, so that the Register carries not only a score but a voice.</w:t>
      </w:r>
    </w:p>
    <w:p>
      <w:r>
        <w:br w:type="page"/>
      </w:r>
    </w:p>
    <w:p>
      <w:pPr>
        <w:pStyle w:val="Heading1"/>
        <w:keepNext/>
        <w:pBdr>
          <w:bottom w:val="single" w:color="0B6E4F" w:sz="10" w:space="6"/>
        </w:pBdr>
        <w:spacing w:after="160" w:before="360"/>
      </w:pPr>
      <w:r>
        <w:rPr>
          <w:rFonts w:ascii="Calibri" w:cs="Calibri" w:eastAsia="Calibri" w:hAnsi="Calibri"/>
          <w:b/>
          <w:bCs/>
          <w:color w:val="07452F"/>
          <w:sz w:val="30"/>
          <w:szCs w:val="30"/>
        </w:rPr>
        <w:t xml:space="preserve">5.  Where the Need Is: The Frontier Map</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map below locates the priority intervention clusters identified in the field assessment underpinning this proposal. Tier 1 States require immediate intervention; Tier 2 States require urgent intervention. Community points are indicative pending the georeferencing exercise in Phase 0.</w:t>
      </w:r>
    </w:p>
    <w:p>
      <w:pPr>
        <w:spacing w:after="160" w:before="200"/>
        <w:jc w:val="center"/>
      </w:pPr>
      <w:r>
        <w:drawing>
          <wp:inline distT="0" distB="0" distL="0" distR="0">
            <wp:extent cx="5619750" cy="4886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619750" cy="4886325"/>
                    </a:xfrm>
                    <a:prstGeom prst="rect">
                      <a:avLst/>
                    </a:prstGeom>
                  </pic:spPr>
                </pic:pic>
              </a:graphicData>
            </a:graphic>
          </wp:inline>
        </w:drawing>
      </w:r>
    </w:p>
    <w:p>
      <w:pPr>
        <w:keepNext w:val="false"/>
        <w:spacing w:after="240" w:before="0" w:line="276"/>
        <w:jc w:val="center"/>
      </w:pPr>
      <w:r>
        <w:rPr>
          <w:rFonts w:ascii="Calibri" w:cs="Calibri" w:eastAsia="Calibri" w:hAnsi="Calibri"/>
          <w:b w:val="false"/>
          <w:bCs w:val="false"/>
          <w:i/>
          <w:iCs/>
          <w:color w:val="6B6862"/>
          <w:sz w:val="18"/>
          <w:szCs w:val="18"/>
        </w:rPr>
        <w:t xml:space="preserve">Figure 1 — Border communities of Nigeria: priority intervention clusters, Renewed Hope Frontier Programme.</w:t>
      </w:r>
    </w:p>
    <w:p>
      <w:pPr>
        <w:pStyle w:val="Heading2"/>
        <w:keepNext/>
        <w:spacing w:after="110" w:before="260"/>
      </w:pPr>
      <w:r>
        <w:rPr>
          <w:rFonts w:ascii="Calibri" w:cs="Calibri" w:eastAsia="Calibri" w:hAnsi="Calibri"/>
          <w:b/>
          <w:bCs/>
          <w:color w:val="0B6E4F"/>
          <w:sz w:val="24"/>
          <w:szCs w:val="24"/>
        </w:rPr>
        <w:t xml:space="preserve">5.1  Priority tiering</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1400"/>
        <w:gridCol w:w="800"/>
        <w:gridCol w:w="3200"/>
        <w:gridCol w:w="2100"/>
        <w:gridCol w:w="2138"/>
      </w:tblGrid>
      <w:tr>
        <w:trPr>
          <w:tblHeader/>
        </w:trPr>
        <w:tc>
          <w:tcPr>
            <w:tcW w:type="dxa" w:w="14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Region</w:t>
            </w:r>
          </w:p>
        </w:tc>
        <w:tc>
          <w:tcPr>
            <w:tcW w:type="dxa" w:w="8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Tier</w:t>
            </w:r>
          </w:p>
        </w:tc>
        <w:tc>
          <w:tcPr>
            <w:tcW w:type="dxa" w:w="32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States</w:t>
            </w:r>
          </w:p>
        </w:tc>
        <w:tc>
          <w:tcPr>
            <w:tcW w:type="dxa" w:w="21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Est. population</w:t>
            </w:r>
          </w:p>
        </w:tc>
        <w:tc>
          <w:tcPr>
            <w:tcW w:type="dxa" w:w="21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Leading need</w:t>
            </w:r>
          </w:p>
        </w:tc>
      </w:tr>
      <w:tr>
        <w:tc>
          <w:tcPr>
            <w:tcW w:type="dxa" w:w="1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North-East</w:t>
            </w:r>
          </w:p>
        </w:tc>
        <w:tc>
          <w:tcPr>
            <w:tcW w:type="dxa" w:w="8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1</w:t>
            </w:r>
          </w:p>
        </w:tc>
        <w:tc>
          <w:tcPr>
            <w:tcW w:type="dxa" w:w="3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Borno, Adamawa, Taraba, Gombe</w:t>
            </w:r>
          </w:p>
        </w:tc>
        <w:tc>
          <w:tcPr>
            <w:tcW w:type="dxa" w:w="21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3,500,000+</w:t>
            </w:r>
          </w:p>
        </w:tc>
        <w:tc>
          <w:tcPr>
            <w:tcW w:type="dxa" w:w="21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Security, water, healthcare</w:t>
            </w:r>
          </w:p>
        </w:tc>
      </w:tr>
      <w:tr>
        <w:tc>
          <w:tcPr>
            <w:tcW w:type="dxa" w:w="1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North-West</w:t>
            </w:r>
          </w:p>
        </w:tc>
        <w:tc>
          <w:tcPr>
            <w:tcW w:type="dxa" w:w="8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1</w:t>
            </w:r>
          </w:p>
        </w:tc>
        <w:tc>
          <w:tcPr>
            <w:tcW w:type="dxa" w:w="32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Sokoto, Katsina, Kebbi, Zamfara</w:t>
            </w:r>
          </w:p>
        </w:tc>
        <w:tc>
          <w:tcPr>
            <w:tcW w:type="dxa" w:w="21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2,800,000+</w:t>
            </w:r>
          </w:p>
        </w:tc>
        <w:tc>
          <w:tcPr>
            <w:tcW w:type="dxa" w:w="21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Security, roads, education</w:t>
            </w:r>
          </w:p>
        </w:tc>
      </w:tr>
      <w:tr>
        <w:tc>
          <w:tcPr>
            <w:tcW w:type="dxa" w:w="1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South-West</w:t>
            </w:r>
          </w:p>
        </w:tc>
        <w:tc>
          <w:tcPr>
            <w:tcW w:type="dxa" w:w="8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2</w:t>
            </w:r>
          </w:p>
        </w:tc>
        <w:tc>
          <w:tcPr>
            <w:tcW w:type="dxa" w:w="3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Ogun, Oyo, Lagos</w:t>
            </w:r>
          </w:p>
        </w:tc>
        <w:tc>
          <w:tcPr>
            <w:tcW w:type="dxa" w:w="21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1,500,000+</w:t>
            </w:r>
          </w:p>
        </w:tc>
        <w:tc>
          <w:tcPr>
            <w:tcW w:type="dxa" w:w="21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Infrastructure, trade facilitation</w:t>
            </w:r>
          </w:p>
        </w:tc>
      </w:tr>
      <w:tr>
        <w:tc>
          <w:tcPr>
            <w:tcW w:type="dxa" w:w="1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South-South</w:t>
            </w:r>
          </w:p>
        </w:tc>
        <w:tc>
          <w:tcPr>
            <w:tcW w:type="dxa" w:w="8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2</w:t>
            </w:r>
          </w:p>
        </w:tc>
        <w:tc>
          <w:tcPr>
            <w:tcW w:type="dxa" w:w="32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Cross River, Akwa Ibom</w:t>
            </w:r>
          </w:p>
        </w:tc>
        <w:tc>
          <w:tcPr>
            <w:tcW w:type="dxa" w:w="21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1,200,000+</w:t>
            </w:r>
          </w:p>
        </w:tc>
        <w:tc>
          <w:tcPr>
            <w:tcW w:type="dxa" w:w="21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Access roads, healthcare</w:t>
            </w:r>
          </w:p>
        </w:tc>
      </w:tr>
      <w:tr>
        <w:tc>
          <w:tcPr>
            <w:tcW w:type="dxa" w:w="1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North-Central</w:t>
            </w:r>
          </w:p>
        </w:tc>
        <w:tc>
          <w:tcPr>
            <w:tcW w:type="dxa" w:w="8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2</w:t>
            </w:r>
          </w:p>
        </w:tc>
        <w:tc>
          <w:tcPr>
            <w:tcW w:type="dxa" w:w="3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Plateau, Kaduna, Benue, Niger</w:t>
            </w:r>
          </w:p>
        </w:tc>
        <w:tc>
          <w:tcPr>
            <w:tcW w:type="dxa" w:w="21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1,000,000+</w:t>
            </w:r>
          </w:p>
        </w:tc>
        <w:tc>
          <w:tcPr>
            <w:tcW w:type="dxa" w:w="21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Peace-building, education</w:t>
            </w:r>
          </w:p>
        </w:tc>
      </w:tr>
    </w:tbl>
    <w:p>
      <w:pPr>
        <w:pStyle w:val="Heading2"/>
        <w:keepNext/>
        <w:spacing w:after="110" w:before="260"/>
      </w:pPr>
      <w:r>
        <w:rPr>
          <w:rFonts w:ascii="Calibri" w:cs="Calibri" w:eastAsia="Calibri" w:hAnsi="Calibri"/>
          <w:b/>
          <w:bCs/>
          <w:color w:val="0B6E4F"/>
          <w:sz w:val="24"/>
          <w:szCs w:val="24"/>
        </w:rPr>
        <w:t xml:space="preserve">5.2  Identified community clusters</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1500"/>
        <w:gridCol w:w="2600"/>
        <w:gridCol w:w="3400"/>
        <w:gridCol w:w="2138"/>
      </w:tblGrid>
      <w:tr>
        <w:trPr>
          <w:tblHeader/>
        </w:trPr>
        <w:tc>
          <w:tcPr>
            <w:tcW w:type="dxa" w:w="15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State</w:t>
            </w:r>
          </w:p>
        </w:tc>
        <w:tc>
          <w:tcPr>
            <w:tcW w:type="dxa" w:w="26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LGA(s)</w:t>
            </w:r>
          </w:p>
        </w:tc>
        <w:tc>
          <w:tcPr>
            <w:tcW w:type="dxa" w:w="34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Communities / clusters</w:t>
            </w:r>
          </w:p>
        </w:tc>
        <w:tc>
          <w:tcPr>
            <w:tcW w:type="dxa" w:w="21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Borders</w:t>
            </w:r>
          </w:p>
        </w:tc>
      </w:tr>
      <w:tr>
        <w:tc>
          <w:tcPr>
            <w:tcW w:type="dxa" w:w="15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Borno</w:t>
            </w:r>
          </w:p>
        </w:tc>
        <w:tc>
          <w:tcPr>
            <w:tcW w:type="dxa" w:w="2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Bama, Banki axis, Maiduguri corridor</w:t>
            </w:r>
          </w:p>
        </w:tc>
        <w:tc>
          <w:tcPr>
            <w:tcW w:type="dxa" w:w="3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Banki, Maitagari and frontier villages</w:t>
            </w:r>
          </w:p>
        </w:tc>
        <w:tc>
          <w:tcPr>
            <w:tcW w:type="dxa" w:w="21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Cameroon, Chad, Niger</w:t>
            </w:r>
          </w:p>
        </w:tc>
      </w:tr>
      <w:tr>
        <w:tc>
          <w:tcPr>
            <w:tcW w:type="dxa" w:w="15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Adamawa</w:t>
            </w:r>
          </w:p>
        </w:tc>
        <w:tc>
          <w:tcPr>
            <w:tcW w:type="dxa" w:w="2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Ganye, Jada, Michika, Madagali</w:t>
            </w:r>
          </w:p>
        </w:tc>
        <w:tc>
          <w:tcPr>
            <w:tcW w:type="dxa" w:w="3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Chamba (Jangani Mountains), Koma, remote hill settlements</w:t>
            </w:r>
          </w:p>
        </w:tc>
        <w:tc>
          <w:tcPr>
            <w:tcW w:type="dxa" w:w="21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Cameroon</w:t>
            </w:r>
          </w:p>
        </w:tc>
      </w:tr>
      <w:tr>
        <w:tc>
          <w:tcPr>
            <w:tcW w:type="dxa" w:w="15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Taraba</w:t>
            </w:r>
          </w:p>
        </w:tc>
        <w:tc>
          <w:tcPr>
            <w:tcW w:type="dxa" w:w="2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Yorro, Bali, Sardauna</w:t>
            </w:r>
          </w:p>
        </w:tc>
        <w:tc>
          <w:tcPr>
            <w:tcW w:type="dxa" w:w="3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Mumuye communities, Gembu plateau settlements</w:t>
            </w:r>
          </w:p>
        </w:tc>
        <w:tc>
          <w:tcPr>
            <w:tcW w:type="dxa" w:w="21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Cameroon</w:t>
            </w:r>
          </w:p>
        </w:tc>
      </w:tr>
      <w:tr>
        <w:tc>
          <w:tcPr>
            <w:tcW w:type="dxa" w:w="15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Gombe</w:t>
            </w:r>
          </w:p>
        </w:tc>
        <w:tc>
          <w:tcPr>
            <w:tcW w:type="dxa" w:w="2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Balanga, Shongom, Kaltungo</w:t>
            </w:r>
          </w:p>
        </w:tc>
        <w:tc>
          <w:tcPr>
            <w:tcW w:type="dxa" w:w="3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Tula communities; Lunguda–Waja conflict zones</w:t>
            </w:r>
          </w:p>
        </w:tc>
        <w:tc>
          <w:tcPr>
            <w:tcW w:type="dxa" w:w="21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Adamawa (internal)</w:t>
            </w:r>
          </w:p>
        </w:tc>
      </w:tr>
      <w:tr>
        <w:tc>
          <w:tcPr>
            <w:tcW w:type="dxa" w:w="15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Sokoto</w:t>
            </w:r>
          </w:p>
        </w:tc>
        <w:tc>
          <w:tcPr>
            <w:tcW w:type="dxa" w:w="2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Sabon Birni, Isa, Gudu</w:t>
            </w:r>
          </w:p>
        </w:tc>
        <w:tc>
          <w:tcPr>
            <w:tcW w:type="dxa" w:w="3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Sabon Birni town and surrounding villages</w:t>
            </w:r>
          </w:p>
        </w:tc>
        <w:tc>
          <w:tcPr>
            <w:tcW w:type="dxa" w:w="21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Niger Republic</w:t>
            </w:r>
          </w:p>
        </w:tc>
      </w:tr>
      <w:tr>
        <w:tc>
          <w:tcPr>
            <w:tcW w:type="dxa" w:w="15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Katsina</w:t>
            </w:r>
          </w:p>
        </w:tc>
        <w:tc>
          <w:tcPr>
            <w:tcW w:type="dxa" w:w="2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Jibia, Mai’Adua, Daura</w:t>
            </w:r>
          </w:p>
        </w:tc>
        <w:tc>
          <w:tcPr>
            <w:tcW w:type="dxa" w:w="3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Jibia and frontier communities</w:t>
            </w:r>
          </w:p>
        </w:tc>
        <w:tc>
          <w:tcPr>
            <w:tcW w:type="dxa" w:w="21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Niger Republic</w:t>
            </w:r>
          </w:p>
        </w:tc>
      </w:tr>
      <w:tr>
        <w:tc>
          <w:tcPr>
            <w:tcW w:type="dxa" w:w="15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Kebbi</w:t>
            </w:r>
          </w:p>
        </w:tc>
        <w:tc>
          <w:tcPr>
            <w:tcW w:type="dxa" w:w="2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Danko-Wasagu, Sakaba, Zuru</w:t>
            </w:r>
          </w:p>
        </w:tc>
        <w:tc>
          <w:tcPr>
            <w:tcW w:type="dxa" w:w="3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Border settlements along the western frontier</w:t>
            </w:r>
          </w:p>
        </w:tc>
        <w:tc>
          <w:tcPr>
            <w:tcW w:type="dxa" w:w="21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Niger / Benin</w:t>
            </w:r>
          </w:p>
        </w:tc>
      </w:tr>
      <w:tr>
        <w:tc>
          <w:tcPr>
            <w:tcW w:type="dxa" w:w="15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Zamfara</w:t>
            </w:r>
          </w:p>
        </w:tc>
        <w:tc>
          <w:tcPr>
            <w:tcW w:type="dxa" w:w="2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Maradun, Shinkafi</w:t>
            </w:r>
          </w:p>
        </w:tc>
        <w:tc>
          <w:tcPr>
            <w:tcW w:type="dxa" w:w="3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Communities along the Sokoto–Zamfara frontier</w:t>
            </w:r>
          </w:p>
        </w:tc>
        <w:tc>
          <w:tcPr>
            <w:tcW w:type="dxa" w:w="21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Niger Republic</w:t>
            </w:r>
          </w:p>
        </w:tc>
      </w:tr>
      <w:tr>
        <w:tc>
          <w:tcPr>
            <w:tcW w:type="dxa" w:w="15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Plateau</w:t>
            </w:r>
          </w:p>
        </w:tc>
        <w:tc>
          <w:tcPr>
            <w:tcW w:type="dxa" w:w="2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Qua’an Pan, Mikang, Langtang South</w:t>
            </w:r>
          </w:p>
        </w:tc>
        <w:tc>
          <w:tcPr>
            <w:tcW w:type="dxa" w:w="3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Southern plateau border settlements</w:t>
            </w:r>
          </w:p>
        </w:tc>
        <w:tc>
          <w:tcPr>
            <w:tcW w:type="dxa" w:w="21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Taraba corridor</w:t>
            </w:r>
          </w:p>
        </w:tc>
      </w:tr>
      <w:tr>
        <w:tc>
          <w:tcPr>
            <w:tcW w:type="dxa" w:w="15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Kaduna</w:t>
            </w:r>
          </w:p>
        </w:tc>
        <w:tc>
          <w:tcPr>
            <w:tcW w:type="dxa" w:w="2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Zangon Kataf, Jema’a, Kachia</w:t>
            </w:r>
          </w:p>
        </w:tc>
        <w:tc>
          <w:tcPr>
            <w:tcW w:type="dxa" w:w="3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Communities along the Kaduna–Plateau axis</w:t>
            </w:r>
          </w:p>
        </w:tc>
        <w:tc>
          <w:tcPr>
            <w:tcW w:type="dxa" w:w="21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Interior frontier</w:t>
            </w:r>
          </w:p>
        </w:tc>
      </w:tr>
      <w:tr>
        <w:tc>
          <w:tcPr>
            <w:tcW w:type="dxa" w:w="15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Benue</w:t>
            </w:r>
          </w:p>
        </w:tc>
        <w:tc>
          <w:tcPr>
            <w:tcW w:type="dxa" w:w="2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Kwande, Vandeikya, Oju</w:t>
            </w:r>
          </w:p>
        </w:tc>
        <w:tc>
          <w:tcPr>
            <w:tcW w:type="dxa" w:w="3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Imade Dura and adjoining border communities</w:t>
            </w:r>
          </w:p>
        </w:tc>
        <w:tc>
          <w:tcPr>
            <w:tcW w:type="dxa" w:w="21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Cameroon</w:t>
            </w:r>
          </w:p>
        </w:tc>
      </w:tr>
      <w:tr>
        <w:tc>
          <w:tcPr>
            <w:tcW w:type="dxa" w:w="15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Niger</w:t>
            </w:r>
          </w:p>
        </w:tc>
        <w:tc>
          <w:tcPr>
            <w:tcW w:type="dxa" w:w="2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Borgu, Rijau, Magama</w:t>
            </w:r>
          </w:p>
        </w:tc>
        <w:tc>
          <w:tcPr>
            <w:tcW w:type="dxa" w:w="3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Communities along the Niger–Benin frontier</w:t>
            </w:r>
          </w:p>
        </w:tc>
        <w:tc>
          <w:tcPr>
            <w:tcW w:type="dxa" w:w="21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Benin Republic</w:t>
            </w:r>
          </w:p>
        </w:tc>
      </w:tr>
      <w:tr>
        <w:tc>
          <w:tcPr>
            <w:tcW w:type="dxa" w:w="15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Cross River</w:t>
            </w:r>
          </w:p>
        </w:tc>
        <w:tc>
          <w:tcPr>
            <w:tcW w:type="dxa" w:w="2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Boki, Obudu, Ikom, Obanliku, Akamkpa</w:t>
            </w:r>
          </w:p>
        </w:tc>
        <w:tc>
          <w:tcPr>
            <w:tcW w:type="dxa" w:w="3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Multiple inland and highland border communities</w:t>
            </w:r>
          </w:p>
        </w:tc>
        <w:tc>
          <w:tcPr>
            <w:tcW w:type="dxa" w:w="21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Cameroon</w:t>
            </w:r>
          </w:p>
        </w:tc>
      </w:tr>
      <w:tr>
        <w:tc>
          <w:tcPr>
            <w:tcW w:type="dxa" w:w="15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Akwa Ibom</w:t>
            </w:r>
          </w:p>
        </w:tc>
        <w:tc>
          <w:tcPr>
            <w:tcW w:type="dxa" w:w="2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Mbo, Oron, Udung Uko</w:t>
            </w:r>
          </w:p>
        </w:tc>
        <w:tc>
          <w:tcPr>
            <w:tcW w:type="dxa" w:w="3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Coastal communities along the maritime boundary</w:t>
            </w:r>
          </w:p>
        </w:tc>
        <w:tc>
          <w:tcPr>
            <w:tcW w:type="dxa" w:w="21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Cameroon (maritime)</w:t>
            </w:r>
          </w:p>
        </w:tc>
      </w:tr>
      <w:tr>
        <w:tc>
          <w:tcPr>
            <w:tcW w:type="dxa" w:w="15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Ogun</w:t>
            </w:r>
          </w:p>
        </w:tc>
        <w:tc>
          <w:tcPr>
            <w:tcW w:type="dxa" w:w="2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Ipokia, Yewa North, Yewa South, Imeko Afon</w:t>
            </w:r>
          </w:p>
        </w:tc>
        <w:tc>
          <w:tcPr>
            <w:tcW w:type="dxa" w:w="3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Idiroko and adjoining border towns</w:t>
            </w:r>
          </w:p>
        </w:tc>
        <w:tc>
          <w:tcPr>
            <w:tcW w:type="dxa" w:w="21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Benin Republic</w:t>
            </w:r>
          </w:p>
        </w:tc>
      </w:tr>
      <w:tr>
        <w:tc>
          <w:tcPr>
            <w:tcW w:type="dxa" w:w="15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Oyo</w:t>
            </w:r>
          </w:p>
        </w:tc>
        <w:tc>
          <w:tcPr>
            <w:tcW w:type="dxa" w:w="2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Iwajowa, Saki West axis</w:t>
            </w:r>
          </w:p>
        </w:tc>
        <w:tc>
          <w:tcPr>
            <w:tcW w:type="dxa" w:w="3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Okerete and settlements within 25 km of the boundary</w:t>
            </w:r>
          </w:p>
        </w:tc>
        <w:tc>
          <w:tcPr>
            <w:tcW w:type="dxa" w:w="21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Benin Republic</w:t>
            </w:r>
          </w:p>
        </w:tc>
      </w:tr>
      <w:tr>
        <w:tc>
          <w:tcPr>
            <w:tcW w:type="dxa" w:w="15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Lagos</w:t>
            </w:r>
          </w:p>
        </w:tc>
        <w:tc>
          <w:tcPr>
            <w:tcW w:type="dxa" w:w="2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Badagry</w:t>
            </w:r>
          </w:p>
        </w:tc>
        <w:tc>
          <w:tcPr>
            <w:tcW w:type="dxa" w:w="3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Seme border communities</w:t>
            </w:r>
          </w:p>
        </w:tc>
        <w:tc>
          <w:tcPr>
            <w:tcW w:type="dxa" w:w="21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Benin Republic</w:t>
            </w:r>
          </w:p>
        </w:tc>
      </w:tr>
    </w:tbl>
    <w:p>
      <w:pPr>
        <w:keepNext w:val="false"/>
        <w:spacing w:after="120" w:before="120" w:line="276"/>
        <w:jc w:val="both"/>
      </w:pPr>
      <w:r>
        <w:rPr>
          <w:rFonts w:ascii="Calibri" w:cs="Calibri" w:eastAsia="Calibri" w:hAnsi="Calibri"/>
          <w:b w:val="false"/>
          <w:bCs w:val="false"/>
          <w:i/>
          <w:iCs/>
          <w:color w:val="6B6862"/>
          <w:sz w:val="18"/>
          <w:szCs w:val="18"/>
        </w:rPr>
        <w:t xml:space="preserve">This schedule reflects the clusters identified to date. Phase 0 will extend, verify and score it across the full national register.</w:t>
      </w:r>
    </w:p>
    <w:p>
      <w:r>
        <w:br w:type="page"/>
      </w:r>
    </w:p>
    <w:p>
      <w:pPr>
        <w:pStyle w:val="Heading1"/>
        <w:keepNext/>
        <w:pBdr>
          <w:bottom w:val="single" w:color="0B6E4F" w:sz="10" w:space="6"/>
        </w:pBdr>
        <w:spacing w:after="160" w:before="360"/>
      </w:pPr>
      <w:r>
        <w:rPr>
          <w:rFonts w:ascii="Calibri" w:cs="Calibri" w:eastAsia="Calibri" w:hAnsi="Calibri"/>
          <w:b/>
          <w:bCs/>
          <w:color w:val="07452F"/>
          <w:sz w:val="30"/>
          <w:szCs w:val="30"/>
        </w:rPr>
        <w:t xml:space="preserve">6.  The Challenges and the Response</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following matrix maps the challenges documented across Nigeria’s border communities against the interventions proposed under this Programme.</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500"/>
        <w:gridCol w:w="1900"/>
        <w:gridCol w:w="3400"/>
        <w:gridCol w:w="3838"/>
      </w:tblGrid>
      <w:tr>
        <w:trPr>
          <w:tblHeader/>
        </w:trPr>
        <w:tc>
          <w:tcPr>
            <w:tcW w:type="dxa" w:w="5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w:t>
            </w:r>
          </w:p>
        </w:tc>
        <w:tc>
          <w:tcPr>
            <w:tcW w:type="dxa" w:w="19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Challenge area</w:t>
            </w:r>
          </w:p>
        </w:tc>
        <w:tc>
          <w:tcPr>
            <w:tcW w:type="dxa" w:w="34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What communities are living with</w:t>
            </w:r>
          </w:p>
        </w:tc>
        <w:tc>
          <w:tcPr>
            <w:tcW w:type="dxa" w:w="38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What the Programme does about it</w:t>
            </w:r>
          </w:p>
        </w:tc>
      </w:tr>
      <w:tr>
        <w:tc>
          <w:tcPr>
            <w:tcW w:type="dxa" w:w="5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1</w:t>
            </w:r>
          </w:p>
        </w:tc>
        <w:tc>
          <w:tcPr>
            <w:tcW w:type="dxa" w:w="19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Water &amp; Sanitation</w:t>
            </w:r>
          </w:p>
        </w:tc>
        <w:tc>
          <w:tcPr>
            <w:tcW w:type="dxa" w:w="3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No potable water supply. Residents crossing an international border to fetch water. Absent WASH facilities. High burden of waterborne disease.</w:t>
            </w:r>
          </w:p>
        </w:tc>
        <w:tc>
          <w:tcPr>
            <w:tcW w:type="dxa" w:w="38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Solar-powered boreholes in every intervention community; treatment where source water is unsafe; community WASH committees with trained female caretakers; rainwater harvesting at schools and clinics; a maintenance levy and spare-parts chain so the borehole still works in year five.</w:t>
            </w:r>
          </w:p>
        </w:tc>
      </w:tr>
      <w:tr>
        <w:tc>
          <w:tcPr>
            <w:tcW w:type="dxa" w:w="5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2</w:t>
            </w:r>
          </w:p>
        </w:tc>
        <w:tc>
          <w:tcPr>
            <w:tcW w:type="dxa" w:w="19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Healthcare</w:t>
            </w:r>
          </w:p>
        </w:tc>
        <w:tc>
          <w:tcPr>
            <w:tcW w:type="dxa" w:w="3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No primary health centre within reach. Pregnant women making unsafe cross-border journeys. Clinics understaffed, unequipped, unsupplied. Families walking great distances for basic treatment.</w:t>
            </w:r>
          </w:p>
        </w:tc>
        <w:tc>
          <w:tcPr>
            <w:tcW w:type="dxa" w:w="38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Construction or rehabilitation and full equipping of frontier PHCs; the Frontier Mother &amp; Child Corridor; mobile outreach beyond facility catchments; hardship allowances and housing to retain health workers; phone-based triage, screening and teleconsultation; emergency referral and transport arrangements.</w:t>
            </w:r>
          </w:p>
        </w:tc>
      </w:tr>
      <w:tr>
        <w:tc>
          <w:tcPr>
            <w:tcW w:type="dxa" w:w="5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3</w:t>
            </w:r>
          </w:p>
        </w:tc>
        <w:tc>
          <w:tcPr>
            <w:tcW w:type="dxa" w:w="19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Education</w:t>
            </w:r>
          </w:p>
        </w:tc>
        <w:tc>
          <w:tcPr>
            <w:tcW w:type="dxa" w:w="3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No schools, or dilapidated classrooms. Children schooled in neighbouring countries and returning speaking a foreign language. High illiteracy. A severe out-of-school crisis.</w:t>
            </w:r>
          </w:p>
        </w:tc>
        <w:tc>
          <w:tcPr>
            <w:tcW w:type="dxa" w:w="38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Classroom construction and rehabilitation; teacher recruitment with frontier deployment incentives; school feeding to raise and hold attendance; accelerated learning for over-age and returning children; adult literacy for mothers; vocational centres attached to border markets.</w:t>
            </w:r>
          </w:p>
        </w:tc>
      </w:tr>
      <w:tr>
        <w:tc>
          <w:tcPr>
            <w:tcW w:type="dxa" w:w="5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4</w:t>
            </w:r>
          </w:p>
        </w:tc>
        <w:tc>
          <w:tcPr>
            <w:tcW w:type="dxa" w:w="19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Infrastructure &amp; Access</w:t>
            </w:r>
          </w:p>
        </w:tc>
        <w:tc>
          <w:tcPr>
            <w:tcW w:type="dxa" w:w="3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Impassable roads and broken bridges. Communities unreachable in the wet season. No electricity. The visible condition of the frontier damaging Nigeria’s standing with her neighbours.</w:t>
            </w:r>
          </w:p>
        </w:tc>
        <w:tc>
          <w:tcPr>
            <w:tcW w:type="dxa" w:w="38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Rural access road and culvert works prioritised by the number of people they unlock; bridge rehabilitation; solar mini-grids serving the clinic, school, market and water point first; community lighting; connectivity partnerships with mobile network operators.</w:t>
            </w:r>
          </w:p>
        </w:tc>
      </w:tr>
      <w:tr>
        <w:tc>
          <w:tcPr>
            <w:tcW w:type="dxa" w:w="5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5</w:t>
            </w:r>
          </w:p>
        </w:tc>
        <w:tc>
          <w:tcPr>
            <w:tcW w:type="dxa" w:w="19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Economic Exclusion</w:t>
            </w:r>
          </w:p>
        </w:tc>
        <w:tc>
          <w:tcPr>
            <w:tcW w:type="dxa" w:w="3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High unemployment. Few economic opportunities. Entrenched poverty. No agricultural support. No access to credit or financial services.</w:t>
            </w:r>
          </w:p>
        </w:tc>
        <w:tc>
          <w:tcPr>
            <w:tcW w:type="dxa" w:w="38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Agricultural input packages and dry-season irrigation; skills acquisition tied to real local demand; women-led village savings and loan associations; digitally-delivered micro-credit; international border market development; trade facilitation and documentation support.</w:t>
            </w:r>
          </w:p>
        </w:tc>
      </w:tr>
      <w:tr>
        <w:tc>
          <w:tcPr>
            <w:tcW w:type="dxa" w:w="5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6</w:t>
            </w:r>
          </w:p>
        </w:tc>
        <w:tc>
          <w:tcPr>
            <w:tcW w:type="dxa" w:w="19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Security &amp; Governance</w:t>
            </w:r>
          </w:p>
        </w:tc>
        <w:tc>
          <w:tcPr>
            <w:tcW w:type="dxa" w:w="3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Smuggling and trafficking. Banditry and cattle rustling. Recruitment by criminal syndicates. Unresolved boundary disputes. No security presence. The crisis of allegiance.</w:t>
            </w:r>
          </w:p>
        </w:tc>
        <w:tc>
          <w:tcPr>
            <w:tcW w:type="dxa" w:w="38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Community-based early warning integrated with the Programme’s reporting channel; support to community policing within existing legal frameworks; boundary demarcation support to the National Boundary Commission; structured peace-building with women and youth at the table; making the State visible through service delivery.</w:t>
            </w:r>
          </w:p>
        </w:tc>
      </w:tr>
      <w:tr>
        <w:tc>
          <w:tcPr>
            <w:tcW w:type="dxa" w:w="5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7</w:t>
            </w:r>
          </w:p>
        </w:tc>
        <w:tc>
          <w:tcPr>
            <w:tcW w:type="dxa" w:w="19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Social Exclusion</w:t>
            </w:r>
          </w:p>
        </w:tc>
        <w:tc>
          <w:tcPr>
            <w:tcW w:type="dxa" w:w="3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Marginalised ethnic groups. Communities disconnected from the Nigerian State. Near-zero participation in national programmes. Forced migration across the border.</w:t>
            </w:r>
          </w:p>
        </w:tc>
        <w:tc>
          <w:tcPr>
            <w:tcW w:type="dxa" w:w="38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Deliberate inclusion of frontier communities in every national social programme, targeted by FVI score; community development committees with mandatory female and youth representation; civic education and national identity documentation drives; cross-border cooperation frameworks where families straddle the line.</w:t>
            </w:r>
          </w:p>
        </w:tc>
      </w:tr>
      <w:tr>
        <w:tc>
          <w:tcPr>
            <w:tcW w:type="dxa" w:w="5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8</w:t>
            </w:r>
          </w:p>
        </w:tc>
        <w:tc>
          <w:tcPr>
            <w:tcW w:type="dxa" w:w="19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Cross-Border Vulnerability</w:t>
            </w:r>
          </w:p>
        </w:tc>
        <w:tc>
          <w:tcPr>
            <w:tcW w:type="dxa" w:w="3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Dependence on neighbouring countries for basic needs. Irregular migration. Exposure to external exploitation. Erosion of national identity.</w:t>
            </w:r>
          </w:p>
        </w:tc>
        <w:tc>
          <w:tcPr>
            <w:tcW w:type="dxa" w:w="38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Direct attack on the Cross-Border Dependency Rate through all five pillars; cross-border disease surveillance; bilateral service-delivery understandings where geography makes them sensible; community-driven development so the Nigerian option is simply the better option.</w:t>
            </w:r>
          </w:p>
        </w:tc>
      </w:tr>
    </w:tbl>
    <w:p>
      <w:r>
        <w:br w:type="page"/>
      </w:r>
    </w:p>
    <w:p>
      <w:pPr>
        <w:pStyle w:val="Heading1"/>
        <w:keepNext/>
        <w:pBdr>
          <w:bottom w:val="single" w:color="0B6E4F" w:sz="10" w:space="6"/>
        </w:pBdr>
        <w:spacing w:after="160" w:before="360"/>
      </w:pPr>
      <w:r>
        <w:rPr>
          <w:rFonts w:ascii="Calibri" w:cs="Calibri" w:eastAsia="Calibri" w:hAnsi="Calibri"/>
          <w:b/>
          <w:bCs/>
          <w:color w:val="07452F"/>
          <w:sz w:val="30"/>
          <w:szCs w:val="30"/>
        </w:rPr>
        <w:t xml:space="preserve">7.  The Programme: Five Frontier Pillars</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Renewed Hope Frontier Programme delivers through five pillars. The first four build what is missing. The fifth pays for its use, so that what is built keeps working after the launch photographs. Each is designed to be visible within weeks, measurable within months, and durable within years.</w:t>
      </w:r>
    </w:p>
    <w:p>
      <w:pPr>
        <w:pStyle w:val="Heading2"/>
        <w:keepNext/>
        <w:spacing w:after="110" w:before="260"/>
      </w:pPr>
      <w:r>
        <w:rPr>
          <w:rFonts w:ascii="Calibri" w:cs="Calibri" w:eastAsia="Calibri" w:hAnsi="Calibri"/>
          <w:b/>
          <w:bCs/>
          <w:color w:val="0B6E4F"/>
          <w:sz w:val="24"/>
          <w:szCs w:val="24"/>
        </w:rPr>
        <w:t xml:space="preserve">7.1  Pillar One — The Frontier Mother &amp; Child Corridor</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flagship. A continuous corridor of maternal and child care along Nigeria’s land frontier, so that no Nigerian woman has to leave Nigeria to deliver her baby, and no Nigerian child is born without proof of who they are.</w:t>
      </w:r>
    </w:p>
    <w:p>
      <w:pPr>
        <w:pStyle w:val="ListParagraph"/>
        <w:numPr>
          <w:ilvl w:val="0"/>
          <w:numId w:val="2"/>
        </w:numPr>
        <w:spacing w:after="80" w:before="0" w:line="264"/>
        <w:jc w:val="left"/>
      </w:pPr>
      <w:r>
        <w:rPr>
          <w:rFonts w:ascii="Calibri" w:cs="Calibri" w:eastAsia="Calibri" w:hAnsi="Calibri"/>
          <w:color w:val="20211F"/>
          <w:sz w:val="21"/>
          <w:szCs w:val="21"/>
        </w:rPr>
        <w:t xml:space="preserve">A functioning, equipped, staffed delivery point within reach of every intervention community, with a skilled birth attendant, clean water, light and a referral arrangement.</w:t>
      </w:r>
    </w:p>
    <w:p>
      <w:pPr>
        <w:pStyle w:val="ListParagraph"/>
        <w:numPr>
          <w:ilvl w:val="0"/>
          <w:numId w:val="2"/>
        </w:numPr>
        <w:spacing w:after="80" w:before="0" w:line="264"/>
        <w:jc w:val="left"/>
      </w:pPr>
      <w:r>
        <w:rPr>
          <w:rFonts w:ascii="Calibri" w:cs="Calibri" w:eastAsia="Calibri" w:hAnsi="Calibri"/>
          <w:color w:val="20211F"/>
          <w:sz w:val="21"/>
          <w:szCs w:val="21"/>
        </w:rPr>
        <w:t xml:space="preserve">A birth registration point co-located with every delivery point, wired into the national civil registration drive, so that registration happens at the moment of birth rather than years later or never.</w:t>
      </w:r>
    </w:p>
    <w:p>
      <w:pPr>
        <w:pStyle w:val="ListParagraph"/>
        <w:numPr>
          <w:ilvl w:val="0"/>
          <w:numId w:val="2"/>
        </w:numPr>
        <w:spacing w:after="80" w:before="0" w:line="264"/>
        <w:jc w:val="left"/>
      </w:pPr>
      <w:r>
        <w:rPr>
          <w:rFonts w:ascii="Calibri" w:cs="Calibri" w:eastAsia="Calibri" w:hAnsi="Calibri"/>
          <w:color w:val="20211F"/>
          <w:sz w:val="21"/>
          <w:szCs w:val="21"/>
        </w:rPr>
        <w:t xml:space="preserve">Antenatal identification and follow-up of every pregnant woman in the community by trained Frontier Hope Ambassadors, supported by phone-based reminders and risk screening in the local language.</w:t>
      </w:r>
    </w:p>
    <w:p>
      <w:pPr>
        <w:pStyle w:val="ListParagraph"/>
        <w:numPr>
          <w:ilvl w:val="0"/>
          <w:numId w:val="2"/>
        </w:numPr>
        <w:spacing w:after="80" w:before="0" w:line="264"/>
        <w:jc w:val="left"/>
      </w:pPr>
      <w:r>
        <w:rPr>
          <w:rFonts w:ascii="Calibri" w:cs="Calibri" w:eastAsia="Calibri" w:hAnsi="Calibri"/>
          <w:color w:val="20211F"/>
          <w:sz w:val="21"/>
          <w:szCs w:val="21"/>
        </w:rPr>
        <w:t xml:space="preserve">Cervical cancer screening and HPV vaccination for frontier women and girls, extending the national campaign to the communities it has never reached.</w:t>
      </w:r>
    </w:p>
    <w:p>
      <w:pPr>
        <w:pStyle w:val="ListParagraph"/>
        <w:numPr>
          <w:ilvl w:val="0"/>
          <w:numId w:val="2"/>
        </w:numPr>
        <w:spacing w:after="80" w:before="0" w:line="264"/>
        <w:jc w:val="left"/>
      </w:pPr>
      <w:r>
        <w:rPr>
          <w:rFonts w:ascii="Calibri" w:cs="Calibri" w:eastAsia="Calibri" w:hAnsi="Calibri"/>
          <w:color w:val="20211F"/>
          <w:sz w:val="21"/>
          <w:szCs w:val="21"/>
        </w:rPr>
        <w:t xml:space="preserve">Emergency transport arrangements — a paid, on-call local vehicle or motorcycle ambulance in each cluster — because a road that exists is useless if there is nothing on it at two in the morning.</w:t>
      </w:r>
    </w:p>
    <w:tbl>
      <w:tblPr>
        <w:tblW w:type="dxa" w:w="9638"/>
        <w:tblBorders>
          <w:top w:val="single" w:color="0B6E4F" w:sz="4"/>
          <w:left w:val="single" w:color="0B6E4F" w:sz="24"/>
          <w:bottom w:val="single" w:color="0B6E4F" w:sz="4"/>
          <w:right w:val="single" w:color="0B6E4F" w:sz="4"/>
          <w:insideH w:val="none"/>
          <w:insideV w:val="none"/>
        </w:tblBorders>
      </w:tblPr>
      <w:tblGrid>
        <w:gridCol w:w="9638"/>
      </w:tblGrid>
      <w:tr>
        <w:tc>
          <w:tcPr>
            <w:tcW w:type="dxa" w:w="9638"/>
            <w:shd w:fill="F5F4EE" w:color="auto" w:val="clear"/>
            <w:tcMar>
              <w:top w:type="dxa" w:w="200"/>
              <w:left w:type="dxa" w:w="240"/>
              <w:bottom w:type="dxa" w:w="200"/>
              <w:right w:type="dxa" w:w="200"/>
            </w:tcMar>
          </w:tcPr>
          <w:p>
            <w:pPr>
              <w:keepNext w:val="false"/>
              <w:spacing w:after="100" w:before="0" w:line="264"/>
              <w:jc w:val="left"/>
            </w:pPr>
            <w:r>
              <w:rPr>
                <w:rFonts w:ascii="Calibri" w:cs="Calibri" w:eastAsia="Calibri" w:hAnsi="Calibri"/>
                <w:b/>
                <w:bCs/>
                <w:i w:val="false"/>
                <w:iCs w:val="false"/>
                <w:color w:val="0B6E4F"/>
                <w:sz w:val="18"/>
                <w:szCs w:val="18"/>
              </w:rPr>
              <w:t xml:space="preserve">Signature commitment</w:t>
            </w:r>
          </w:p>
          <w:p>
            <w:pPr>
              <w:keepNext w:val="false"/>
              <w:spacing w:after="0" w:before="0" w:line="264"/>
              <w:jc w:val="left"/>
            </w:pPr>
            <w:r>
              <w:rPr>
                <w:rFonts w:ascii="Calibri" w:cs="Calibri" w:eastAsia="Calibri" w:hAnsi="Calibri"/>
                <w:b/>
                <w:bCs/>
                <w:i/>
                <w:iCs/>
                <w:color w:val="20211F"/>
                <w:sz w:val="22"/>
                <w:szCs w:val="22"/>
              </w:rPr>
              <w:t xml:space="preserve">Every child born in a Renewed Hope Frontier community leaves the delivery point with two things: a healthy mother, and a Nigerian birth certificate.</w:t>
            </w:r>
          </w:p>
        </w:tc>
      </w:tr>
    </w:tbl>
    <w:p>
      <w:pPr>
        <w:pStyle w:val="Heading2"/>
        <w:keepNext/>
        <w:spacing w:after="110" w:before="260"/>
      </w:pPr>
      <w:r>
        <w:rPr>
          <w:rFonts w:ascii="Calibri" w:cs="Calibri" w:eastAsia="Calibri" w:hAnsi="Calibri"/>
          <w:b/>
          <w:bCs/>
          <w:color w:val="0B6E4F"/>
          <w:sz w:val="24"/>
          <w:szCs w:val="24"/>
        </w:rPr>
        <w:t xml:space="preserve">7.2  Pillar Two — Frontier Water, Light and Learning</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three things that decide whether a family stays or crosses.</w:t>
      </w:r>
    </w:p>
    <w:p>
      <w:pPr>
        <w:pStyle w:val="ListParagraph"/>
        <w:numPr>
          <w:ilvl w:val="0"/>
          <w:numId w:val="2"/>
        </w:numPr>
        <w:spacing w:after="80" w:before="0" w:line="264"/>
        <w:jc w:val="left"/>
      </w:pPr>
      <w:r>
        <w:rPr>
          <w:rFonts w:ascii="Calibri" w:cs="Calibri" w:eastAsia="Calibri" w:hAnsi="Calibri"/>
          <w:b/>
          <w:bCs/>
          <w:color w:val="20211F"/>
          <w:sz w:val="21"/>
          <w:szCs w:val="21"/>
        </w:rPr>
        <w:t xml:space="preserve">Water. </w:t>
      </w:r>
      <w:r>
        <w:rPr>
          <w:rFonts w:ascii="Calibri" w:cs="Calibri" w:eastAsia="Calibri" w:hAnsi="Calibri"/>
          <w:color w:val="20211F"/>
          <w:sz w:val="21"/>
          <w:szCs w:val="21"/>
        </w:rPr>
        <w:t xml:space="preserve">A solar-powered borehole in every intervention community, sited by the community, maintained by a trained caretaker, with a documented spare-parts and repair chain. Water first, always — it is the intervention that changes daily life fastest and is most visible to the whole community within days.</w:t>
      </w:r>
    </w:p>
    <w:p>
      <w:pPr>
        <w:pStyle w:val="ListParagraph"/>
        <w:numPr>
          <w:ilvl w:val="0"/>
          <w:numId w:val="2"/>
        </w:numPr>
        <w:spacing w:after="80" w:before="0" w:line="264"/>
        <w:jc w:val="left"/>
      </w:pPr>
      <w:r>
        <w:rPr>
          <w:rFonts w:ascii="Calibri" w:cs="Calibri" w:eastAsia="Calibri" w:hAnsi="Calibri"/>
          <w:b/>
          <w:bCs/>
          <w:color w:val="20211F"/>
          <w:sz w:val="21"/>
          <w:szCs w:val="21"/>
        </w:rPr>
        <w:t xml:space="preserve">Light. </w:t>
      </w:r>
      <w:r>
        <w:rPr>
          <w:rFonts w:ascii="Calibri" w:cs="Calibri" w:eastAsia="Calibri" w:hAnsi="Calibri"/>
          <w:color w:val="20211F"/>
          <w:sz w:val="21"/>
          <w:szCs w:val="21"/>
        </w:rPr>
        <w:t xml:space="preserve">A solar mini-grid or dedicated solar systems for the clinic, the school, the water point, the market and community lighting. Light extends the school day, allows night deliveries, powers the cold chain and reduces the risk to women and girls after dark.</w:t>
      </w:r>
    </w:p>
    <w:p>
      <w:pPr>
        <w:pStyle w:val="ListParagraph"/>
        <w:numPr>
          <w:ilvl w:val="0"/>
          <w:numId w:val="2"/>
        </w:numPr>
        <w:spacing w:after="80" w:before="0" w:line="264"/>
        <w:jc w:val="left"/>
      </w:pPr>
      <w:r>
        <w:rPr>
          <w:rFonts w:ascii="Calibri" w:cs="Calibri" w:eastAsia="Calibri" w:hAnsi="Calibri"/>
          <w:b/>
          <w:bCs/>
          <w:color w:val="20211F"/>
          <w:sz w:val="21"/>
          <w:szCs w:val="21"/>
        </w:rPr>
        <w:t xml:space="preserve">Learning. </w:t>
      </w:r>
      <w:r>
        <w:rPr>
          <w:rFonts w:ascii="Calibri" w:cs="Calibri" w:eastAsia="Calibri" w:hAnsi="Calibri"/>
          <w:color w:val="20211F"/>
          <w:sz w:val="21"/>
          <w:szCs w:val="21"/>
        </w:rPr>
        <w:t xml:space="preserve">Classroom rehabilitation, learning materials, teacher deployment with a frontier hardship allowance and decent housing, and school feeding. Alongside this, an accelerated learning programme for the children returning from schooling across the border, so that a fourteen-year-old is not asked to sit with seven-year-olds and therefore does not come at all.</w:t>
      </w:r>
    </w:p>
    <w:p>
      <w:pPr>
        <w:pStyle w:val="Heading2"/>
        <w:keepNext/>
        <w:spacing w:after="110" w:before="260"/>
      </w:pPr>
      <w:r>
        <w:rPr>
          <w:rFonts w:ascii="Calibri" w:cs="Calibri" w:eastAsia="Calibri" w:hAnsi="Calibri"/>
          <w:b/>
          <w:bCs/>
          <w:color w:val="0B6E4F"/>
          <w:sz w:val="24"/>
          <w:szCs w:val="24"/>
        </w:rPr>
        <w:t xml:space="preserve">7.3  Pillar Three — Frontier Livelihoods and Border Markets</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Prosperity is the most reliable border security Nigeria can buy. A household with an income and something to lose is a household with a stake in the Nigerian State.</w:t>
      </w:r>
    </w:p>
    <w:p>
      <w:pPr>
        <w:pStyle w:val="ListParagraph"/>
        <w:numPr>
          <w:ilvl w:val="0"/>
          <w:numId w:val="2"/>
        </w:numPr>
        <w:spacing w:after="80" w:before="0" w:line="264"/>
        <w:jc w:val="left"/>
      </w:pPr>
      <w:r>
        <w:rPr>
          <w:rFonts w:ascii="Calibri" w:cs="Calibri" w:eastAsia="Calibri" w:hAnsi="Calibri"/>
          <w:color w:val="20211F"/>
          <w:sz w:val="21"/>
          <w:szCs w:val="21"/>
        </w:rPr>
        <w:t xml:space="preserve">Agricultural input packages, dry-season irrigation from the same solar infrastructure that supplies drinking water, and post-harvest storage.</w:t>
      </w:r>
    </w:p>
    <w:p>
      <w:pPr>
        <w:pStyle w:val="ListParagraph"/>
        <w:numPr>
          <w:ilvl w:val="0"/>
          <w:numId w:val="2"/>
        </w:numPr>
        <w:spacing w:after="80" w:before="0" w:line="264"/>
        <w:jc w:val="left"/>
      </w:pPr>
      <w:r>
        <w:rPr>
          <w:rFonts w:ascii="Calibri" w:cs="Calibri" w:eastAsia="Calibri" w:hAnsi="Calibri"/>
          <w:color w:val="20211F"/>
          <w:sz w:val="21"/>
          <w:szCs w:val="21"/>
        </w:rPr>
        <w:t xml:space="preserve">Women-led village savings and loan associations as the entry point to financial inclusion, with digitally-delivered micro-credit layered on once savings behaviour is established.</w:t>
      </w:r>
    </w:p>
    <w:p>
      <w:pPr>
        <w:pStyle w:val="ListParagraph"/>
        <w:numPr>
          <w:ilvl w:val="0"/>
          <w:numId w:val="2"/>
        </w:numPr>
        <w:spacing w:after="80" w:before="0" w:line="264"/>
        <w:jc w:val="left"/>
      </w:pPr>
      <w:r>
        <w:rPr>
          <w:rFonts w:ascii="Calibri" w:cs="Calibri" w:eastAsia="Calibri" w:hAnsi="Calibri"/>
          <w:color w:val="20211F"/>
          <w:sz w:val="21"/>
          <w:szCs w:val="21"/>
        </w:rPr>
        <w:t xml:space="preserve">Skills acquisition tied to demonstrated local demand — not a standard national curriculum applied to a place that cannot use it.</w:t>
      </w:r>
    </w:p>
    <w:p>
      <w:pPr>
        <w:pStyle w:val="ListParagraph"/>
        <w:numPr>
          <w:ilvl w:val="0"/>
          <w:numId w:val="2"/>
        </w:numPr>
        <w:spacing w:after="80" w:before="0" w:line="264"/>
        <w:jc w:val="left"/>
      </w:pPr>
      <w:r>
        <w:rPr>
          <w:rFonts w:ascii="Calibri" w:cs="Calibri" w:eastAsia="Calibri" w:hAnsi="Calibri"/>
          <w:color w:val="20211F"/>
          <w:sz w:val="21"/>
          <w:szCs w:val="21"/>
        </w:rPr>
        <w:t xml:space="preserve">Development of international border markets as formal commercial hubs, converting existing informal cross-border trade into recorded, protected, revenue-generating commerce.</w:t>
      </w:r>
    </w:p>
    <w:p>
      <w:pPr>
        <w:pStyle w:val="ListParagraph"/>
        <w:numPr>
          <w:ilvl w:val="0"/>
          <w:numId w:val="2"/>
        </w:numPr>
        <w:spacing w:after="80" w:before="0" w:line="264"/>
        <w:jc w:val="left"/>
      </w:pPr>
      <w:r>
        <w:rPr>
          <w:rFonts w:ascii="Calibri" w:cs="Calibri" w:eastAsia="Calibri" w:hAnsi="Calibri"/>
          <w:color w:val="20211F"/>
          <w:sz w:val="21"/>
          <w:szCs w:val="21"/>
        </w:rPr>
        <w:t xml:space="preserve">A dedicated youth track, because the young men of the frontier are precisely the population that criminal and armed groups recruit from, and precisely the population no programme currently offers anything to.</w:t>
      </w:r>
    </w:p>
    <w:p>
      <w:pPr>
        <w:pStyle w:val="Heading2"/>
        <w:keepNext/>
        <w:spacing w:after="110" w:before="260"/>
      </w:pPr>
      <w:r>
        <w:rPr>
          <w:rFonts w:ascii="Calibri" w:cs="Calibri" w:eastAsia="Calibri" w:hAnsi="Calibri"/>
          <w:b/>
          <w:bCs/>
          <w:color w:val="0B6E4F"/>
          <w:sz w:val="24"/>
          <w:szCs w:val="24"/>
        </w:rPr>
        <w:t xml:space="preserve">7.4  Pillar Four — Frontier Identity and Belonging</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pillar that addresses the crisis of allegiance directly. A citizen who cannot prove citizenship, who has never been visited by a national programme, and who has never seen the State do anything useful, is a citizen whose loyalty is being asked for on credit.</w:t>
      </w:r>
    </w:p>
    <w:p>
      <w:pPr>
        <w:pStyle w:val="ListParagraph"/>
        <w:numPr>
          <w:ilvl w:val="0"/>
          <w:numId w:val="2"/>
        </w:numPr>
        <w:spacing w:after="80" w:before="0" w:line="264"/>
        <w:jc w:val="left"/>
      </w:pPr>
      <w:r>
        <w:rPr>
          <w:rFonts w:ascii="Calibri" w:cs="Calibri" w:eastAsia="Calibri" w:hAnsi="Calibri"/>
          <w:color w:val="20211F"/>
          <w:sz w:val="21"/>
          <w:szCs w:val="21"/>
        </w:rPr>
        <w:t xml:space="preserve">Mass birth registration and National Identification Number enrolment drives, mobile and in-community.</w:t>
      </w:r>
    </w:p>
    <w:p>
      <w:pPr>
        <w:pStyle w:val="ListParagraph"/>
        <w:numPr>
          <w:ilvl w:val="0"/>
          <w:numId w:val="2"/>
        </w:numPr>
        <w:spacing w:after="80" w:before="0" w:line="264"/>
        <w:jc w:val="left"/>
      </w:pPr>
      <w:r>
        <w:rPr>
          <w:rFonts w:ascii="Calibri" w:cs="Calibri" w:eastAsia="Calibri" w:hAnsi="Calibri"/>
          <w:color w:val="20211F"/>
          <w:sz w:val="21"/>
          <w:szCs w:val="21"/>
        </w:rPr>
        <w:t xml:space="preserve">Civic education and national identity programming in schools and community forums, in the local language.</w:t>
      </w:r>
    </w:p>
    <w:p>
      <w:pPr>
        <w:pStyle w:val="ListParagraph"/>
        <w:numPr>
          <w:ilvl w:val="0"/>
          <w:numId w:val="2"/>
        </w:numPr>
        <w:spacing w:after="80" w:before="0" w:line="264"/>
        <w:jc w:val="left"/>
      </w:pPr>
      <w:r>
        <w:rPr>
          <w:rFonts w:ascii="Calibri" w:cs="Calibri" w:eastAsia="Calibri" w:hAnsi="Calibri"/>
          <w:color w:val="20211F"/>
          <w:sz w:val="21"/>
          <w:szCs w:val="21"/>
        </w:rPr>
        <w:t xml:space="preserve">Restoration of the Nigerian curriculum and Nigerian instruction in communities where children have been schooled across the border, alongside recognition of the languages families actually speak.</w:t>
      </w:r>
    </w:p>
    <w:p>
      <w:pPr>
        <w:pStyle w:val="ListParagraph"/>
        <w:numPr>
          <w:ilvl w:val="0"/>
          <w:numId w:val="2"/>
        </w:numPr>
        <w:spacing w:after="80" w:before="0" w:line="264"/>
        <w:jc w:val="left"/>
      </w:pPr>
      <w:r>
        <w:rPr>
          <w:rFonts w:ascii="Calibri" w:cs="Calibri" w:eastAsia="Calibri" w:hAnsi="Calibri"/>
          <w:color w:val="20211F"/>
          <w:sz w:val="21"/>
          <w:szCs w:val="21"/>
        </w:rPr>
        <w:t xml:space="preserve">Community development committees with formal standing, mandatory female and youth representation, and a real role in choosing and monitoring what gets built.</w:t>
      </w:r>
    </w:p>
    <w:p>
      <w:pPr>
        <w:pStyle w:val="ListParagraph"/>
        <w:numPr>
          <w:ilvl w:val="0"/>
          <w:numId w:val="2"/>
        </w:numPr>
        <w:spacing w:after="80" w:before="0" w:line="264"/>
        <w:jc w:val="left"/>
      </w:pPr>
      <w:r>
        <w:rPr>
          <w:rFonts w:ascii="Calibri" w:cs="Calibri" w:eastAsia="Calibri" w:hAnsi="Calibri"/>
          <w:color w:val="20211F"/>
          <w:sz w:val="21"/>
          <w:szCs w:val="21"/>
        </w:rPr>
        <w:t xml:space="preserve">Structured cross-border cooperation with counterpart communities, so that families who straddle the line are supported rather than criminalised.</w:t>
      </w:r>
    </w:p>
    <w:p>
      <w:pPr>
        <w:pStyle w:val="Heading2"/>
        <w:keepNext/>
        <w:spacing w:after="110" w:before="260"/>
      </w:pPr>
      <w:r>
        <w:rPr>
          <w:rFonts w:ascii="Calibri" w:cs="Calibri" w:eastAsia="Calibri" w:hAnsi="Calibri"/>
          <w:b/>
          <w:bCs/>
          <w:color w:val="0B6E4F"/>
          <w:sz w:val="24"/>
          <w:szCs w:val="24"/>
        </w:rPr>
        <w:t xml:space="preserve">7.5  Pillar Five — Frontier Health Coverage</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A clinic that a family cannot afford to use is a building, not a health service. This pillar makes the first four durable by attaching every intervention community to Nigeria’s existing national health financing architecture, rather than to a project budget that ends.</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NHIA Act 2022 made health insurance mandatory for every legal resident and created the Vulnerable Group Fund within the Basic Health Care Provision Fund, specifically to subsidise care for children under five, pregnant women, elderly people, people living with disability, internally displaced persons and households earning below the statutory income threshold. Border communities are not a marginal case for that Fund. They are its textbook beneficiary, and they are among the least enrolled populations in the Federation.</w:t>
      </w:r>
    </w:p>
    <w:p>
      <w:pPr>
        <w:pStyle w:val="Heading3"/>
        <w:keepNext/>
        <w:spacing w:after="90" w:before="200"/>
      </w:pPr>
      <w:r>
        <w:rPr>
          <w:rFonts w:ascii="Calibri" w:cs="Calibri" w:eastAsia="Calibri" w:hAnsi="Calibri"/>
          <w:b/>
          <w:bCs/>
          <w:color w:val="20211F"/>
          <w:sz w:val="21"/>
          <w:szCs w:val="21"/>
        </w:rPr>
        <w:t xml:space="preserve">Enrolment is not coverage</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This distinction governs the design of the pillar, and the Programme should be candid about why. In February 2026 residents of Gyartai, in Ghari Local Government Area of Kano State, gathered to ask that their health post be upgraded. Six hundred and two of them had already been enrolled through the Basic Health Care Provision Fund. The facility had two permanent health workers, no borehole, and had been built to serve five hundred people in a community of more than ten thousand. The cards were real. The coverage was not.</w:t>
      </w:r>
    </w:p>
    <w:tbl>
      <w:tblPr>
        <w:tblW w:type="dxa" w:w="9638"/>
        <w:tblBorders>
          <w:top w:val="single" w:color="0B6E4F" w:sz="4"/>
          <w:left w:val="single" w:color="0B6E4F" w:sz="24"/>
          <w:bottom w:val="single" w:color="0B6E4F" w:sz="4"/>
          <w:right w:val="single" w:color="0B6E4F" w:sz="4"/>
          <w:insideH w:val="none"/>
          <w:insideV w:val="none"/>
        </w:tblBorders>
      </w:tblPr>
      <w:tblGrid>
        <w:gridCol w:w="9638"/>
      </w:tblGrid>
      <w:tr>
        <w:tc>
          <w:tcPr>
            <w:tcW w:type="dxa" w:w="9638"/>
            <w:shd w:fill="F5F4EE" w:color="auto" w:val="clear"/>
            <w:tcMar>
              <w:top w:type="dxa" w:w="200"/>
              <w:left w:type="dxa" w:w="240"/>
              <w:bottom w:type="dxa" w:w="200"/>
              <w:right w:type="dxa" w:w="200"/>
            </w:tcMar>
          </w:tcPr>
          <w:p>
            <w:pPr>
              <w:keepNext w:val="false"/>
              <w:spacing w:after="100" w:before="0" w:line="264"/>
              <w:jc w:val="center"/>
            </w:pPr>
            <w:r>
              <w:rPr>
                <w:rFonts w:ascii="Calibri" w:cs="Calibri" w:eastAsia="Calibri" w:hAnsi="Calibri"/>
                <w:b/>
                <w:bCs/>
                <w:i w:val="false"/>
                <w:iCs w:val="false"/>
                <w:color w:val="07452F"/>
                <w:sz w:val="22"/>
                <w:szCs w:val="22"/>
              </w:rPr>
              <w:t xml:space="preserve">An insurance card is worthless where the facility has no water, no power, no medicines and no staff.</w:t>
            </w:r>
          </w:p>
          <w:p>
            <w:pPr>
              <w:keepNext w:val="false"/>
              <w:spacing w:after="0" w:before="0" w:line="264"/>
              <w:jc w:val="center"/>
            </w:pPr>
            <w:r>
              <w:rPr>
                <w:rFonts w:ascii="Calibri" w:cs="Calibri" w:eastAsia="Calibri" w:hAnsi="Calibri"/>
                <w:b w:val="false"/>
                <w:bCs w:val="false"/>
                <w:i/>
                <w:iCs/>
                <w:color w:val="20211F"/>
                <w:sz w:val="20"/>
                <w:szCs w:val="20"/>
              </w:rPr>
              <w:t xml:space="preserve">This is the exact gap the Renewed Hope Frontier Programme closes. Pillars One to Four build the supply side. Pillar Five finances the demand side. Neither works alone — which is why no existing programme has closed it, and why this one can.</w:t>
            </w:r>
          </w:p>
        </w:tc>
      </w:tr>
    </w:tbl>
    <w:p>
      <w:pPr>
        <w:pStyle w:val="Heading3"/>
        <w:keepNext/>
        <w:spacing w:after="90" w:before="200"/>
      </w:pPr>
      <w:r>
        <w:rPr>
          <w:rFonts w:ascii="Calibri" w:cs="Calibri" w:eastAsia="Calibri" w:hAnsi="Calibri"/>
          <w:b/>
          <w:bCs/>
          <w:color w:val="20211F"/>
          <w:sz w:val="21"/>
          <w:szCs w:val="21"/>
        </w:rPr>
        <w:t xml:space="preserve">What the pillar does</w:t>
      </w:r>
    </w:p>
    <w:p>
      <w:pPr>
        <w:pStyle w:val="ListParagraph"/>
        <w:numPr>
          <w:ilvl w:val="0"/>
          <w:numId w:val="2"/>
        </w:numPr>
        <w:spacing w:after="80" w:before="0" w:line="264"/>
        <w:jc w:val="left"/>
      </w:pPr>
      <w:r>
        <w:rPr>
          <w:rFonts w:ascii="Calibri" w:cs="Calibri" w:eastAsia="Calibri" w:hAnsi="Calibri"/>
          <w:b/>
          <w:bCs/>
          <w:color w:val="20211F"/>
          <w:sz w:val="21"/>
          <w:szCs w:val="21"/>
        </w:rPr>
        <w:t xml:space="preserve">Enrol every household, using the Register as the enumeration source. </w:t>
      </w:r>
      <w:r>
        <w:rPr>
          <w:rFonts w:ascii="Calibri" w:cs="Calibri" w:eastAsia="Calibri" w:hAnsi="Calibri"/>
          <w:color w:val="20211F"/>
          <w:sz w:val="21"/>
          <w:szCs w:val="21"/>
        </w:rPr>
        <w:t xml:space="preserve">The single hardest problem in vulnerable-group enrolment is knowing who and where the vulnerable are. The National Frontier Register produced in Phase 0 answers that question for 2,000-plus communities, with verified coordinates — and hands the answer to the NHIA and the State Social Health Insurance Agencies at no cost.</w:t>
      </w:r>
    </w:p>
    <w:p>
      <w:pPr>
        <w:pStyle w:val="ListParagraph"/>
        <w:numPr>
          <w:ilvl w:val="0"/>
          <w:numId w:val="2"/>
        </w:numPr>
        <w:spacing w:after="80" w:before="0" w:line="264"/>
        <w:jc w:val="left"/>
      </w:pPr>
      <w:r>
        <w:rPr>
          <w:rFonts w:ascii="Calibri" w:cs="Calibri" w:eastAsia="Calibri" w:hAnsi="Calibri"/>
          <w:b/>
          <w:bCs/>
          <w:color w:val="20211F"/>
          <w:sz w:val="21"/>
          <w:szCs w:val="21"/>
        </w:rPr>
        <w:t xml:space="preserve">Sequence enrolment behind accreditation, never in front of it. </w:t>
      </w:r>
      <w:r>
        <w:rPr>
          <w:rFonts w:ascii="Calibri" w:cs="Calibri" w:eastAsia="Calibri" w:hAnsi="Calibri"/>
          <w:color w:val="20211F"/>
          <w:sz w:val="21"/>
          <w:szCs w:val="21"/>
        </w:rPr>
        <w:t xml:space="preserve">No card is issued in a community until the facility it points to has been rehabilitated, equipped, staffed, watered, powered and accredited. A card that leads to an empty building teaches a family that the Nigerian State makes promises it does not keep — the precise belief this Programme exists to reverse.</w:t>
      </w:r>
    </w:p>
    <w:p>
      <w:pPr>
        <w:pStyle w:val="ListParagraph"/>
        <w:numPr>
          <w:ilvl w:val="0"/>
          <w:numId w:val="2"/>
        </w:numPr>
        <w:spacing w:after="80" w:before="0" w:line="264"/>
        <w:jc w:val="left"/>
      </w:pPr>
      <w:r>
        <w:rPr>
          <w:rFonts w:ascii="Calibri" w:cs="Calibri" w:eastAsia="Calibri" w:hAnsi="Calibri"/>
          <w:b/>
          <w:bCs/>
          <w:color w:val="20211F"/>
          <w:sz w:val="21"/>
          <w:szCs w:val="21"/>
        </w:rPr>
        <w:t xml:space="preserve">Enrol through the Frontier Hope Ambassadors. </w:t>
      </w:r>
      <w:r>
        <w:rPr>
          <w:rFonts w:ascii="Calibri" w:cs="Calibri" w:eastAsia="Calibri" w:hAnsi="Calibri"/>
          <w:color w:val="20211F"/>
          <w:sz w:val="21"/>
          <w:szCs w:val="21"/>
        </w:rPr>
        <w:t xml:space="preserve">They already know every household, every pregnancy and every newborn in the community. Enrolment agents who live in the community, speak the language and are trusted by the traditional leadership close registration gaps that visiting teams cannot.</w:t>
      </w:r>
    </w:p>
    <w:p>
      <w:pPr>
        <w:pStyle w:val="ListParagraph"/>
        <w:numPr>
          <w:ilvl w:val="0"/>
          <w:numId w:val="2"/>
        </w:numPr>
        <w:spacing w:after="80" w:before="0" w:line="264"/>
        <w:jc w:val="left"/>
      </w:pPr>
      <w:r>
        <w:rPr>
          <w:rFonts w:ascii="Calibri" w:cs="Calibri" w:eastAsia="Calibri" w:hAnsi="Calibri"/>
          <w:b/>
          <w:bCs/>
          <w:color w:val="20211F"/>
          <w:sz w:val="21"/>
          <w:szCs w:val="21"/>
        </w:rPr>
        <w:t xml:space="preserve">Use civil registration as the identity spine. </w:t>
      </w:r>
      <w:r>
        <w:rPr>
          <w:rFonts w:ascii="Calibri" w:cs="Calibri" w:eastAsia="Calibri" w:hAnsi="Calibri"/>
          <w:color w:val="20211F"/>
          <w:sz w:val="21"/>
          <w:szCs w:val="21"/>
        </w:rPr>
        <w:t xml:space="preserve">The birth registration and NIN enrolment in Pillar Four supply the identity documents enrolment requires. The pillars interlock by design: a child registered at birth in Pillar Four is an enrollable citizen in Pillar Five.</w:t>
      </w:r>
    </w:p>
    <w:p>
      <w:pPr>
        <w:pStyle w:val="ListParagraph"/>
        <w:numPr>
          <w:ilvl w:val="0"/>
          <w:numId w:val="2"/>
        </w:numPr>
        <w:spacing w:after="80" w:before="0" w:line="264"/>
        <w:jc w:val="left"/>
      </w:pPr>
      <w:r>
        <w:rPr>
          <w:rFonts w:ascii="Calibri" w:cs="Calibri" w:eastAsia="Calibri" w:hAnsi="Calibri"/>
          <w:b/>
          <w:bCs/>
          <w:color w:val="20211F"/>
          <w:sz w:val="21"/>
          <w:szCs w:val="21"/>
        </w:rPr>
        <w:t xml:space="preserve">Make the money visible. </w:t>
      </w:r>
      <w:r>
        <w:rPr>
          <w:rFonts w:ascii="Calibri" w:cs="Calibri" w:eastAsia="Calibri" w:hAnsi="Calibri"/>
          <w:color w:val="20211F"/>
          <w:sz w:val="21"/>
          <w:szCs w:val="21"/>
        </w:rPr>
        <w:t xml:space="preserve">Capitation and claims flowing into frontier facilities published on the Frontier Dashboard alongside the delivery record, so that a community can see what its facility is being paid to do.</w:t>
      </w:r>
    </w:p>
    <w:p>
      <w:pPr>
        <w:pStyle w:val="ListParagraph"/>
        <w:numPr>
          <w:ilvl w:val="0"/>
          <w:numId w:val="2"/>
        </w:numPr>
        <w:spacing w:after="80" w:before="0" w:line="264"/>
        <w:jc w:val="left"/>
      </w:pPr>
      <w:r>
        <w:rPr>
          <w:rFonts w:ascii="Calibri" w:cs="Calibri" w:eastAsia="Calibri" w:hAnsi="Calibri"/>
          <w:b/>
          <w:bCs/>
          <w:color w:val="20211F"/>
          <w:sz w:val="21"/>
          <w:szCs w:val="21"/>
        </w:rPr>
        <w:t xml:space="preserve">Route through the lawful national architecture. </w:t>
      </w:r>
      <w:r>
        <w:rPr>
          <w:rFonts w:ascii="Calibri" w:cs="Calibri" w:eastAsia="Calibri" w:hAnsi="Calibri"/>
          <w:color w:val="20211F"/>
          <w:sz w:val="21"/>
          <w:szCs w:val="21"/>
        </w:rPr>
        <w:t xml:space="preserve">Risk is carried by the NHIA and the State Social Health Insurance Agencies under the NHIA Act, not by the Programme and not by any private scheme. The Programme’s role is enumeration, mobilisation, facility readiness and transparency.</w:t>
      </w:r>
    </w:p>
    <w:p>
      <w:pPr>
        <w:pStyle w:val="Heading3"/>
        <w:keepNext/>
        <w:spacing w:after="90" w:before="200"/>
      </w:pPr>
      <w:r>
        <w:rPr>
          <w:rFonts w:ascii="Calibri" w:cs="Calibri" w:eastAsia="Calibri" w:hAnsi="Calibri"/>
          <w:b/>
          <w:bCs/>
          <w:color w:val="20211F"/>
          <w:sz w:val="21"/>
          <w:szCs w:val="21"/>
        </w:rPr>
        <w:t xml:space="preserve">Declaration of interest</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implementing organisation has a commercial interest in the Nigerian health insurance sector: Kampe Health Plans Ltd is a joint undertaking of United Healthcare International Ltd, an NHIA-licensed Health Maintenance Organisation, and Josmol Human Capital Resources Ltd. This interest is declared here without being asked, and the Programme is structured so that it cannot be exercised.</w:t>
      </w:r>
    </w:p>
    <w:p>
      <w:pPr>
        <w:pStyle w:val="ListParagraph"/>
        <w:numPr>
          <w:ilvl w:val="0"/>
          <w:numId w:val="2"/>
        </w:numPr>
        <w:spacing w:after="80" w:before="0" w:line="264"/>
        <w:jc w:val="left"/>
      </w:pPr>
      <w:r>
        <w:rPr>
          <w:rFonts w:ascii="Calibri" w:cs="Calibri" w:eastAsia="Calibri" w:hAnsi="Calibri"/>
          <w:color w:val="20211F"/>
          <w:sz w:val="21"/>
          <w:szCs w:val="21"/>
        </w:rPr>
        <w:t xml:space="preserve">No frontier household is enrolled into any scheme in which the implementing organisation holds an interest.</w:t>
      </w:r>
    </w:p>
    <w:p>
      <w:pPr>
        <w:pStyle w:val="ListParagraph"/>
        <w:numPr>
          <w:ilvl w:val="0"/>
          <w:numId w:val="2"/>
        </w:numPr>
        <w:spacing w:after="80" w:before="0" w:line="264"/>
        <w:jc w:val="left"/>
      </w:pPr>
      <w:r>
        <w:rPr>
          <w:rFonts w:ascii="Calibri" w:cs="Calibri" w:eastAsia="Calibri" w:hAnsi="Calibri"/>
          <w:color w:val="20211F"/>
          <w:sz w:val="21"/>
          <w:szCs w:val="21"/>
        </w:rPr>
        <w:t xml:space="preserve">Coverage is placed with the NHIA and the relevant State Social Health Insurance Agency; the choice of carrier is the Government’s alone and is made without the implementing organisation in the room.</w:t>
      </w:r>
    </w:p>
    <w:p>
      <w:pPr>
        <w:pStyle w:val="ListParagraph"/>
        <w:numPr>
          <w:ilvl w:val="0"/>
          <w:numId w:val="2"/>
        </w:numPr>
        <w:spacing w:after="80" w:before="0" w:line="264"/>
        <w:jc w:val="left"/>
      </w:pPr>
      <w:r>
        <w:rPr>
          <w:rFonts w:ascii="Calibri" w:cs="Calibri" w:eastAsia="Calibri" w:hAnsi="Calibri"/>
          <w:color w:val="20211F"/>
          <w:sz w:val="21"/>
          <w:szCs w:val="21"/>
        </w:rPr>
        <w:t xml:space="preserve">Any claims or enrolment technology supplied by the implementing organisation is procured separately, openly, at published cost, and on terms that permit the Government to replace it.</w:t>
      </w:r>
    </w:p>
    <w:p>
      <w:pPr>
        <w:keepNext w:val="false"/>
        <w:spacing w:after="120" w:before="100" w:line="276"/>
        <w:jc w:val="both"/>
      </w:pPr>
      <w:r>
        <w:rPr>
          <w:rFonts w:ascii="Calibri" w:cs="Calibri" w:eastAsia="Calibri" w:hAnsi="Calibri"/>
          <w:b w:val="false"/>
          <w:bCs w:val="false"/>
          <w:i w:val="false"/>
          <w:iCs w:val="false"/>
          <w:color w:val="20211F"/>
          <w:sz w:val="21"/>
          <w:szCs w:val="21"/>
        </w:rPr>
        <w:t xml:space="preserve">A programme that asks for the First Lady’s name must be able to survive the question ‘what does the proposer get out of it?’ being asked in public. This is the answer, offered in advance.</w:t>
      </w:r>
    </w:p>
    <w:p>
      <w:r>
        <w:br w:type="page"/>
      </w:r>
    </w:p>
    <w:p>
      <w:pPr>
        <w:pStyle w:val="Heading1"/>
        <w:keepNext/>
        <w:pBdr>
          <w:bottom w:val="single" w:color="0B6E4F" w:sz="10" w:space="6"/>
        </w:pBdr>
        <w:spacing w:after="160" w:before="360"/>
      </w:pPr>
      <w:r>
        <w:rPr>
          <w:rFonts w:ascii="Calibri" w:cs="Calibri" w:eastAsia="Calibri" w:hAnsi="Calibri"/>
          <w:b/>
          <w:bCs/>
          <w:color w:val="07452F"/>
          <w:sz w:val="30"/>
          <w:szCs w:val="30"/>
        </w:rPr>
        <w:t xml:space="preserve">8.  When the Outbreak Comes</w:t>
      </w:r>
    </w:p>
    <w:tbl>
      <w:tblPr>
        <w:tblW w:type="dxa" w:w="9638"/>
        <w:tblBorders>
          <w:top w:val="single" w:color="0B6E4F" w:sz="4"/>
          <w:left w:val="single" w:color="0B6E4F" w:sz="24"/>
          <w:bottom w:val="single" w:color="0B6E4F" w:sz="4"/>
          <w:right w:val="single" w:color="0B6E4F" w:sz="4"/>
          <w:insideH w:val="none"/>
          <w:insideV w:val="none"/>
        </w:tblBorders>
      </w:tblPr>
      <w:tblGrid>
        <w:gridCol w:w="9638"/>
      </w:tblGrid>
      <w:tr>
        <w:tc>
          <w:tcPr>
            <w:tcW w:type="dxa" w:w="9638"/>
            <w:shd w:fill="F5F4EE" w:color="auto" w:val="clear"/>
            <w:tcMar>
              <w:top w:type="dxa" w:w="200"/>
              <w:left w:type="dxa" w:w="240"/>
              <w:bottom w:type="dxa" w:w="200"/>
              <w:right w:type="dxa" w:w="200"/>
            </w:tcMar>
          </w:tcPr>
          <w:p>
            <w:pPr>
              <w:keepNext w:val="false"/>
              <w:spacing w:after="0" w:before="0" w:line="264"/>
              <w:jc w:val="center"/>
            </w:pPr>
            <w:r>
              <w:rPr>
                <w:rFonts w:ascii="Calibri" w:cs="Calibri" w:eastAsia="Calibri" w:hAnsi="Calibri"/>
                <w:b/>
                <w:bCs/>
                <w:i w:val="false"/>
                <w:iCs w:val="false"/>
                <w:color w:val="07452F"/>
                <w:sz w:val="24"/>
                <w:szCs w:val="24"/>
              </w:rPr>
              <w:t xml:space="preserve">The outbreak is not a risk to this Programme. It is the proof that the Programme is already overdue.</w:t>
            </w:r>
          </w:p>
        </w:tc>
      </w:tr>
    </w:tbl>
    <w:p>
      <w:pPr>
        <w:pStyle w:val="Heading2"/>
        <w:keepNext/>
        <w:spacing w:after="110" w:before="260"/>
      </w:pPr>
      <w:r>
        <w:rPr>
          <w:rFonts w:ascii="Calibri" w:cs="Calibri" w:eastAsia="Calibri" w:hAnsi="Calibri"/>
          <w:b/>
          <w:bCs/>
          <w:color w:val="0B6E4F"/>
          <w:sz w:val="24"/>
          <w:szCs w:val="24"/>
        </w:rPr>
        <w:t xml:space="preserve">8.1  It is not a question of if</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Nigeria's border communities do not merely face the possibility of an epidemic. They live inside a recurring one. The outbreak season arrives with the rains and the harmattan as reliably as the seasons themselves, and it arrives first and hardest in exactly the communities this Programme addresses.</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2200"/>
        <w:gridCol w:w="7438"/>
      </w:tblGrid>
      <w:tr>
        <w:trPr>
          <w:tblHeader/>
        </w:trPr>
        <w:tc>
          <w:tcPr>
            <w:tcW w:type="dxa" w:w="22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Recent record</w:t>
            </w:r>
          </w:p>
        </w:tc>
        <w:tc>
          <w:tcPr>
            <w:tcW w:type="dxa" w:w="74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What it shows</w:t>
            </w:r>
          </w:p>
        </w:tc>
      </w:tr>
      <w:tr>
        <w:tc>
          <w:tcPr>
            <w:tcW w:type="dxa" w:w="2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Cholera, Borno, 2026</w:t>
            </w:r>
          </w:p>
        </w:tc>
        <w:tc>
          <w:tcPr>
            <w:tcW w:type="dxa" w:w="74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More than 4,000 suspected cases and 39 associated deaths across seven Local Government Areas, reported by the NCDC. The NCDC Director-General had warned weeks earlier that the country had entered the seasonal window in which cholera historically surges.</w:t>
            </w:r>
          </w:p>
        </w:tc>
      </w:tr>
      <w:tr>
        <w:tc>
          <w:tcPr>
            <w:tcW w:type="dxa" w:w="22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Cholera, Bauchi, 2026</w:t>
            </w:r>
          </w:p>
        </w:tc>
        <w:tc>
          <w:tcPr>
            <w:tcW w:type="dxa" w:w="74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An outbreak formally declared on the strength of laboratory confirmation, with 398 suspected cases and 16 deaths across 13 LGAs as at 31 July 2026 — a case fatality rate of four per cent, against a global benchmark of well under one per cent for treated cases.</w:t>
            </w:r>
          </w:p>
        </w:tc>
      </w:tr>
      <w:tr>
        <w:tc>
          <w:tcPr>
            <w:tcW w:type="dxa" w:w="2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Cholera, national, 2024</w:t>
            </w:r>
          </w:p>
        </w:tc>
        <w:tc>
          <w:tcPr>
            <w:tcW w:type="dxa" w:w="74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10,837 suspected cases and 359 deaths in the first nine months alone — a 220 per cent increase on the same period the previous year. Children under five were the most affected age group. Reporting states included Jigawa, Borno, Katsina, Adamawa, Zamfara, Yobe, Ogun and Oyo — border states, one after another.</w:t>
            </w:r>
          </w:p>
        </w:tc>
      </w:tr>
      <w:tr>
        <w:tc>
          <w:tcPr>
            <w:tcW w:type="dxa" w:w="22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Meningitis, northern Nigeria, 2025</w:t>
            </w:r>
          </w:p>
        </w:tc>
        <w:tc>
          <w:tcPr>
            <w:tcW w:type="dxa" w:w="74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More than 800 cases and over 70 deaths across 23 states in a meningococcal C and W outbreak, requiring an emergency draw of over one million doses from the Gavi-funded global stockpile. The dry-season belt runs directly along Nigeria's northern frontier.</w:t>
            </w:r>
          </w:p>
        </w:tc>
      </w:tr>
      <w:tr>
        <w:tc>
          <w:tcPr>
            <w:tcW w:type="dxa" w:w="2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Diphtheria, northern Nigeria</w:t>
            </w:r>
          </w:p>
        </w:tc>
        <w:tc>
          <w:tcPr>
            <w:tcW w:type="dxa" w:w="74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Some 22,000 suspected infections in a single twelve-month period during the recent national outbreak, concentrated in the northern states, and driven overwhelmingly by children who had never been immunised.</w:t>
            </w:r>
          </w:p>
        </w:tc>
      </w:tr>
    </w:tbl>
    <w:p>
      <w:pPr>
        <w:keepNext w:val="false"/>
        <w:spacing w:after="120" w:before="120" w:line="276"/>
        <w:jc w:val="both"/>
      </w:pPr>
      <w:r>
        <w:rPr>
          <w:rFonts w:ascii="Calibri" w:cs="Calibri" w:eastAsia="Calibri" w:hAnsi="Calibri"/>
          <w:b w:val="false"/>
          <w:bCs w:val="false"/>
          <w:i w:val="false"/>
          <w:iCs w:val="false"/>
          <w:color w:val="20211F"/>
          <w:sz w:val="21"/>
          <w:szCs w:val="21"/>
        </w:rPr>
        <w:t xml:space="preserve">The NCDC has been explicit about the cause. Open defecation, and poor access to potable water and sanitation, are named as the conditions that sustain cholera transmission in the affected communities. Those are not incidental features of the frontier. They are its defining characteristics, and they are precisely what this Programme is built to remove.</w:t>
      </w:r>
    </w:p>
    <w:p>
      <w:pPr>
        <w:pStyle w:val="Heading2"/>
        <w:keepNext/>
        <w:spacing w:after="110" w:before="260"/>
      </w:pPr>
      <w:r>
        <w:rPr>
          <w:rFonts w:ascii="Calibri" w:cs="Calibri" w:eastAsia="Calibri" w:hAnsi="Calibri"/>
          <w:b/>
          <w:bCs/>
          <w:color w:val="0B6E4F"/>
          <w:sz w:val="24"/>
          <w:szCs w:val="24"/>
        </w:rPr>
        <w:t xml:space="preserve">8.2  Six things that are impossible without this Programme</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When an outbreak reaches a border community today, a national response arrives to find that the basic preconditions for responding do not exist. This is the argument at the heart of the Programme, and it deserves to be stated plainly.</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600"/>
        <w:gridCol w:w="2900"/>
        <w:gridCol w:w="6138"/>
      </w:tblGrid>
      <w:tr>
        <w:trPr>
          <w:tblHeader/>
        </w:trPr>
        <w:tc>
          <w:tcPr>
            <w:tcW w:type="dxa" w:w="6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w:t>
            </w:r>
          </w:p>
        </w:tc>
        <w:tc>
          <w:tcPr>
            <w:tcW w:type="dxa" w:w="29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What cannot be done</w:t>
            </w:r>
          </w:p>
        </w:tc>
        <w:tc>
          <w:tcPr>
            <w:tcW w:type="dxa" w:w="61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Why</w:t>
            </w:r>
          </w:p>
        </w:tc>
      </w:tr>
      <w:tr>
        <w:tc>
          <w:tcPr>
            <w:tcW w:type="dxa" w:w="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1</w:t>
            </w:r>
          </w:p>
        </w:tc>
        <w:tc>
          <w:tcPr>
            <w:tcW w:type="dxa" w:w="29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You cannot treat cholera without clean water</w:t>
            </w:r>
          </w:p>
        </w:tc>
        <w:tc>
          <w:tcPr>
            <w:tcW w:type="dxa" w:w="61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The treatment for cholera is rehydration — oral rehydration salts dissolved in clean water. In a community with no safe water point, the treatment for the disease requires the very thing whose absence caused it. Response teams must truck water in before a single patient can be treated. A solar borehole is not adjacent to cholera response. It is cholera response.</w:t>
            </w:r>
          </w:p>
        </w:tc>
      </w:tr>
      <w:tr>
        <w:tc>
          <w:tcPr>
            <w:tcW w:type="dxa" w:w="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2</w:t>
            </w:r>
          </w:p>
        </w:tc>
        <w:tc>
          <w:tcPr>
            <w:tcW w:type="dxa" w:w="29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You cannot vaccinate without a cold chain, and there is no cold chain without power</w:t>
            </w:r>
          </w:p>
        </w:tc>
        <w:tc>
          <w:tcPr>
            <w:tcW w:type="dxa" w:w="61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Meningococcal, pentavalent, measles and oral cholera vaccines must be held between 2°C and 8°C. Without electricity there is no refrigerator, so vaccine can only arrive in a cold box with a few hours of life in it. A solar mini-grid at the health post converts a community from one that can be reached by a campaign once a year into one that can be vaccinated on any ordinary Tuesday.</w:t>
            </w:r>
          </w:p>
        </w:tc>
      </w:tr>
      <w:tr>
        <w:tc>
          <w:tcPr>
            <w:tcW w:type="dxa" w:w="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3</w:t>
            </w:r>
          </w:p>
        </w:tc>
        <w:tc>
          <w:tcPr>
            <w:tcW w:type="dxa" w:w="29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You cannot count children you never registered</w:t>
            </w:r>
          </w:p>
        </w:tc>
        <w:tc>
          <w:tcPr>
            <w:tcW w:type="dxa" w:w="61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Every immunisation campaign needs a denominator: how many children are there, and how many did we reach? A community with no birth registration has no denominator. Coverage cannot be calculated, defaulters cannot be traced, and the children are structurally invisible to the national system. Nigeria's zero-dose children are not randomly distributed — the frontier is where they are concentrated.</w:t>
            </w:r>
          </w:p>
        </w:tc>
      </w:tr>
      <w:tr>
        <w:tc>
          <w:tcPr>
            <w:tcW w:type="dxa" w:w="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4</w:t>
            </w:r>
          </w:p>
        </w:tc>
        <w:tc>
          <w:tcPr>
            <w:tcW w:type="dxa" w:w="29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You cannot isolate a patient in a facility that does not exist</w:t>
            </w:r>
          </w:p>
        </w:tc>
        <w:tc>
          <w:tcPr>
            <w:tcW w:type="dxa" w:w="61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Case management and isolation are the difference between a cluster and an epidemic. Where there is no primary health centre, patients are nursed at home by relatives with no protection, and household transmission does the rest. The four per cent case fatality rate seen in a recent declared outbreak is not a property of the pathogen. It is a property of the distance to care.</w:t>
            </w:r>
          </w:p>
        </w:tc>
      </w:tr>
      <w:tr>
        <w:tc>
          <w:tcPr>
            <w:tcW w:type="dxa" w:w="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5</w:t>
            </w:r>
          </w:p>
        </w:tc>
        <w:tc>
          <w:tcPr>
            <w:tcW w:type="dxa" w:w="29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You cannot trace contacts you cannot reach</w:t>
            </w:r>
          </w:p>
        </w:tc>
        <w:tc>
          <w:tcPr>
            <w:tcW w:type="dxa" w:w="61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Rapid response teams travel by road. Where the road is impassable for months of the year and the bridge is broken, contact tracing is attempted on foot across long distances, or not attempted at all. An access road is an epidemiological asset.</w:t>
            </w:r>
          </w:p>
        </w:tc>
      </w:tr>
      <w:tr>
        <w:tc>
          <w:tcPr>
            <w:tcW w:type="dxa" w:w="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6</w:t>
            </w:r>
          </w:p>
        </w:tc>
        <w:tc>
          <w:tcPr>
            <w:tcW w:type="dxa" w:w="29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You cannot warn people you cannot talk to</w:t>
            </w:r>
          </w:p>
        </w:tc>
        <w:tc>
          <w:tcPr>
            <w:tcW w:type="dxa" w:w="61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Risk communication and community engagement is a formal pillar of every outbreak response in Nigeria, including the multisectoral response activated in the most recent State declaration. Where there is no network, no radio and no channel in the local language, rumour fills the vacuum — and vaccine refusal follows. Health officials in one recent diphtheria outbreak reported that most affected children were those whose parents had declined immunisation.</w:t>
            </w:r>
          </w:p>
        </w:tc>
      </w:tr>
    </w:tbl>
    <w:p>
      <w:pPr>
        <w:keepNext w:val="false"/>
        <w:spacing w:after="120" w:before="140" w:line="276"/>
        <w:jc w:val="both"/>
      </w:pPr>
      <w:r>
        <w:rPr>
          <w:rFonts w:ascii="Calibri" w:cs="Calibri" w:eastAsia="Calibri" w:hAnsi="Calibri"/>
          <w:b w:val="false"/>
          <w:bCs w:val="false"/>
          <w:i w:val="false"/>
          <w:iCs w:val="false"/>
          <w:color w:val="20211F"/>
          <w:sz w:val="21"/>
          <w:szCs w:val="21"/>
        </w:rPr>
        <w:t xml:space="preserve">There is a seventh, and it precedes all the others: you cannot respond to an outbreak you never detected. Nigeria's Integrated Disease Surveillance and Response system is triggered when a clinician identifies a case and notifies the Local Government Area. In a community with no functioning facility, that produces not sparse surveillance data but none at all. These communities are not under-surveilled. They are unsurveilled — and they are where pathogens enter the country.</w:t>
      </w:r>
    </w:p>
    <w:p>
      <w:pPr>
        <w:pStyle w:val="Heading2"/>
        <w:keepNext/>
        <w:spacing w:after="110" w:before="260"/>
      </w:pPr>
      <w:r>
        <w:rPr>
          <w:rFonts w:ascii="Calibri" w:cs="Calibri" w:eastAsia="Calibri" w:hAnsi="Calibri"/>
          <w:b/>
          <w:bCs/>
          <w:color w:val="0B6E4F"/>
          <w:sz w:val="24"/>
          <w:szCs w:val="24"/>
        </w:rPr>
        <w:t xml:space="preserve">8.3  Every naira spent twice</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This is the reason the Programme should be understood as an epidemic preparedness investment as much as a development one. Not a single additional line item is required. Every asset already proposed does one job on an ordinary day and a second, entirely different job on the worst day.</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3100"/>
        <w:gridCol w:w="3200"/>
        <w:gridCol w:w="3338"/>
      </w:tblGrid>
      <w:tr>
        <w:trPr>
          <w:tblHeader/>
        </w:trPr>
        <w:tc>
          <w:tcPr>
            <w:tcW w:type="dxa" w:w="31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What the Programme builds</w:t>
            </w:r>
          </w:p>
        </w:tc>
        <w:tc>
          <w:tcPr>
            <w:tcW w:type="dxa" w:w="32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What it does on an ordinary day</w:t>
            </w:r>
          </w:p>
        </w:tc>
        <w:tc>
          <w:tcPr>
            <w:tcW w:type="dxa" w:w="33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What it does in an outbreak</w:t>
            </w:r>
          </w:p>
        </w:tc>
      </w:tr>
      <w:tr>
        <w:tc>
          <w:tcPr>
            <w:tcW w:type="dxa" w:w="31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Solar-powered borehole</w:t>
            </w:r>
          </w:p>
        </w:tc>
        <w:tc>
          <w:tcPr>
            <w:tcW w:type="dxa" w:w="3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Ends the walk across the border for water</w:t>
            </w:r>
          </w:p>
        </w:tc>
        <w:tc>
          <w:tcPr>
            <w:tcW w:type="dxa" w:w="33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Interrupts cholera transmission at source; supplies the clean water that oral rehydration requires</w:t>
            </w:r>
          </w:p>
        </w:tc>
      </w:tr>
      <w:tr>
        <w:tc>
          <w:tcPr>
            <w:tcW w:type="dxa" w:w="31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Solar mini-grid at the clinic</w:t>
            </w:r>
          </w:p>
        </w:tc>
        <w:tc>
          <w:tcPr>
            <w:tcW w:type="dxa" w:w="32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Lights the school, powers night deliveries</w:t>
            </w:r>
          </w:p>
        </w:tc>
        <w:tc>
          <w:tcPr>
            <w:tcW w:type="dxa" w:w="33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Runs the vaccine refrigerator — the cold chain that makes any immunisation campaign possible</w:t>
            </w:r>
          </w:p>
        </w:tc>
      </w:tr>
      <w:tr>
        <w:tc>
          <w:tcPr>
            <w:tcW w:type="dxa" w:w="31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Primary health centre, equipped</w:t>
            </w:r>
          </w:p>
        </w:tc>
        <w:tc>
          <w:tcPr>
            <w:tcW w:type="dxa" w:w="3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Antenatal care, childhood illness, minor injury</w:t>
            </w:r>
          </w:p>
        </w:tc>
        <w:tc>
          <w:tcPr>
            <w:tcW w:type="dxa" w:w="33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Case management, isolation, oral rehydration, the treatment centre a response team can actually use</w:t>
            </w:r>
          </w:p>
        </w:tc>
      </w:tr>
      <w:tr>
        <w:tc>
          <w:tcPr>
            <w:tcW w:type="dxa" w:w="31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Birth registration point</w:t>
            </w:r>
          </w:p>
        </w:tc>
        <w:tc>
          <w:tcPr>
            <w:tcW w:type="dxa" w:w="32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Gives a child legal existence</w:t>
            </w:r>
          </w:p>
        </w:tc>
        <w:tc>
          <w:tcPr>
            <w:tcW w:type="dxa" w:w="33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Provides the denominator without which vaccination coverage cannot be measured or defaulters traced</w:t>
            </w:r>
          </w:p>
        </w:tc>
      </w:tr>
      <w:tr>
        <w:tc>
          <w:tcPr>
            <w:tcW w:type="dxa" w:w="31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Access road and culvert works</w:t>
            </w:r>
          </w:p>
        </w:tc>
        <w:tc>
          <w:tcPr>
            <w:tcW w:type="dxa" w:w="3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Market access, school attendance, referral</w:t>
            </w:r>
          </w:p>
        </w:tc>
        <w:tc>
          <w:tcPr>
            <w:tcW w:type="dxa" w:w="33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Carries the rapid response team, the vaccines and the supplies — in the rainy season, when outbreaks peak</w:t>
            </w:r>
          </w:p>
        </w:tc>
      </w:tr>
      <w:tr>
        <w:tc>
          <w:tcPr>
            <w:tcW w:type="dxa" w:w="31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Frontier Hope Ambassadors</w:t>
            </w:r>
          </w:p>
        </w:tc>
        <w:tc>
          <w:tcPr>
            <w:tcW w:type="dxa" w:w="32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Antenatal follow-up, WASH caretaking, savings groups</w:t>
            </w:r>
          </w:p>
        </w:tc>
        <w:tc>
          <w:tcPr>
            <w:tcW w:type="dxa" w:w="33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Contact tracing, house-to-house case search, risk communication in the language the household actually speaks</w:t>
            </w:r>
          </w:p>
        </w:tc>
      </w:tr>
      <w:tr>
        <w:tc>
          <w:tcPr>
            <w:tcW w:type="dxa" w:w="31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The Frontier Line (*347*7#)</w:t>
            </w:r>
          </w:p>
        </w:tc>
        <w:tc>
          <w:tcPr>
            <w:tcW w:type="dxa" w:w="3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Report a broken borehole, reach a health worker</w:t>
            </w:r>
          </w:p>
        </w:tc>
        <w:tc>
          <w:tcPr>
            <w:tcW w:type="dxa" w:w="33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Risk communication and rumour management — one message to every enrolled household at once, in the local language</w:t>
            </w:r>
          </w:p>
        </w:tc>
      </w:tr>
      <w:tr>
        <w:tc>
          <w:tcPr>
            <w:tcW w:type="dxa" w:w="31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OutbreakVoice</w:t>
            </w:r>
          </w:p>
        </w:tc>
        <w:tc>
          <w:tcPr>
            <w:tcW w:type="dxa" w:w="32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Sits quiet, carrying routine call traffic that builds the community’s baseline</w:t>
            </w:r>
          </w:p>
        </w:tc>
        <w:tc>
          <w:tcPr>
            <w:tcW w:type="dxa" w:w="33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Community-based detection: unusual illness or death reported by voice, clustered into a signal, escalated to the State Epidemiologist and the NCDC</w:t>
            </w:r>
          </w:p>
        </w:tc>
      </w:tr>
      <w:tr>
        <w:tc>
          <w:tcPr>
            <w:tcW w:type="dxa" w:w="31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The National Frontier Register</w:t>
            </w:r>
          </w:p>
        </w:tc>
        <w:tc>
          <w:tcPr>
            <w:tcW w:type="dxa" w:w="3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Directs development spending by measured need</w:t>
            </w:r>
          </w:p>
        </w:tc>
        <w:tc>
          <w:tcPr>
            <w:tcW w:type="dxa" w:w="33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Gives the national response a georeferenced list of every settlement, its population and its access constraints, on day one instead of week three</w:t>
            </w:r>
          </w:p>
        </w:tc>
      </w:tr>
    </w:tbl>
    <w:p>
      <w:pPr>
        <w:pStyle w:val="Heading2"/>
        <w:keepNext/>
        <w:spacing w:after="110" w:before="260"/>
      </w:pPr>
      <w:r>
        <w:rPr>
          <w:rFonts w:ascii="Calibri" w:cs="Calibri" w:eastAsia="Calibri" w:hAnsi="Calibri"/>
          <w:b/>
          <w:bCs/>
          <w:color w:val="0B6E4F"/>
          <w:sz w:val="24"/>
          <w:szCs w:val="24"/>
        </w:rPr>
        <w:t xml:space="preserve">8.4  What this adds to national outbreak readiness</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Programme does not propose a parallel surveillance system, and it should not. Nigeria's third edition Integrated Disease Surveillance and Response Technical Guidelines already provide for community-based surveillance, event-based surveillance, cross-border and point-of-entry surveillance, and the One Health approach. What the guidelines provide for, the frontier has never received. This Programme operationalises existing national doctrine in the one geography where it has never been implemented.</w:t>
      </w:r>
    </w:p>
    <w:p>
      <w:pPr>
        <w:pStyle w:val="ListParagraph"/>
        <w:numPr>
          <w:ilvl w:val="0"/>
          <w:numId w:val="2"/>
        </w:numPr>
        <w:spacing w:after="80" w:before="0" w:line="264"/>
        <w:jc w:val="left"/>
      </w:pPr>
      <w:r>
        <w:rPr>
          <w:rFonts w:ascii="Calibri" w:cs="Calibri" w:eastAsia="Calibri" w:hAnsi="Calibri"/>
          <w:b/>
          <w:bCs/>
          <w:color w:val="20211F"/>
          <w:sz w:val="21"/>
          <w:szCs w:val="21"/>
        </w:rPr>
        <w:t xml:space="preserve">Detection where there is currently none. </w:t>
      </w:r>
      <w:r>
        <w:rPr>
          <w:rFonts w:ascii="Calibri" w:cs="Calibri" w:eastAsia="Calibri" w:hAnsi="Calibri"/>
          <w:color w:val="20211F"/>
          <w:sz w:val="21"/>
          <w:szCs w:val="21"/>
        </w:rPr>
        <w:t xml:space="preserve">OutbreakVoice, the implementing organisation’s voice-first reporting platform, allows a household to report unusual illness or death by telephone, in the local language, on a basic handset — no literacy, no smartphone, no data. Reports are clustered and escalated as signals. Every alert terminates with the State Epidemiologist, the State Public Health Emergency Operations Centre and the NCDC, feeding the national IDSR and case-based surveillance systems. It never terminates with the implementing organisation, and no alert concerning a neighbouring country is ever issued by a private party.</w:t>
      </w:r>
    </w:p>
    <w:p>
      <w:pPr>
        <w:pStyle w:val="ListParagraph"/>
        <w:numPr>
          <w:ilvl w:val="0"/>
          <w:numId w:val="2"/>
        </w:numPr>
        <w:spacing w:after="80" w:before="0" w:line="264"/>
        <w:jc w:val="left"/>
      </w:pPr>
      <w:r>
        <w:rPr>
          <w:rFonts w:ascii="Calibri" w:cs="Calibri" w:eastAsia="Calibri" w:hAnsi="Calibri"/>
          <w:b/>
          <w:bCs/>
          <w:color w:val="20211F"/>
          <w:sz w:val="21"/>
          <w:szCs w:val="21"/>
        </w:rPr>
        <w:t xml:space="preserve">A One Health channel that matches the geography. </w:t>
      </w:r>
      <w:r>
        <w:rPr>
          <w:rFonts w:ascii="Calibri" w:cs="Calibri" w:eastAsia="Calibri" w:hAnsi="Calibri"/>
          <w:color w:val="20211F"/>
          <w:sz w:val="21"/>
          <w:szCs w:val="21"/>
        </w:rPr>
        <w:t xml:space="preserve">These are pastoralist corridors where livestock cross international boundaries. The community reporting flow asks whether animals are also affected — the earliest available signal for anthrax, Rift Valley fever and avian influenza.</w:t>
      </w:r>
    </w:p>
    <w:p>
      <w:pPr>
        <w:pStyle w:val="ListParagraph"/>
        <w:numPr>
          <w:ilvl w:val="0"/>
          <w:numId w:val="2"/>
        </w:numPr>
        <w:spacing w:after="80" w:before="0" w:line="264"/>
        <w:jc w:val="left"/>
      </w:pPr>
      <w:r>
        <w:rPr>
          <w:rFonts w:ascii="Calibri" w:cs="Calibri" w:eastAsia="Calibri" w:hAnsi="Calibri"/>
          <w:b/>
          <w:bCs/>
          <w:color w:val="20211F"/>
          <w:sz w:val="21"/>
          <w:szCs w:val="21"/>
        </w:rPr>
        <w:t xml:space="preserve">Cross-border coordination with a factual basis. </w:t>
      </w:r>
      <w:r>
        <w:rPr>
          <w:rFonts w:ascii="Calibri" w:cs="Calibri" w:eastAsia="Calibri" w:hAnsi="Calibri"/>
          <w:color w:val="20211F"/>
          <w:sz w:val="21"/>
          <w:szCs w:val="21"/>
        </w:rPr>
        <w:t xml:space="preserve">A georeferenced register of frontier settlements is the practical precondition for any joint surveillance arrangement with Benin, Niger, Chad or Cameroon under the International Health Regulations.</w:t>
      </w:r>
    </w:p>
    <w:p>
      <w:pPr>
        <w:pStyle w:val="ListParagraph"/>
        <w:numPr>
          <w:ilvl w:val="0"/>
          <w:numId w:val="2"/>
        </w:numPr>
        <w:spacing w:after="80" w:before="0" w:line="264"/>
        <w:jc w:val="left"/>
      </w:pPr>
      <w:r>
        <w:rPr>
          <w:rFonts w:ascii="Calibri" w:cs="Calibri" w:eastAsia="Calibri" w:hAnsi="Calibri"/>
          <w:b/>
          <w:bCs/>
          <w:color w:val="20211F"/>
          <w:sz w:val="21"/>
          <w:szCs w:val="21"/>
        </w:rPr>
        <w:t xml:space="preserve">Response capacity that now exists to receive it. </w:t>
      </w:r>
      <w:r>
        <w:rPr>
          <w:rFonts w:ascii="Calibri" w:cs="Calibri" w:eastAsia="Calibri" w:hAnsi="Calibri"/>
          <w:color w:val="20211F"/>
          <w:sz w:val="21"/>
          <w:szCs w:val="21"/>
        </w:rPr>
        <w:t xml:space="preserve">The NCDC reported in February 2026 that 32 of 37 states operate Public Health Emergency Operations Centres meeting minimum standards. The national machinery to act on a frontier signal is largely in place. What is missing is the signal.</w:t>
      </w:r>
    </w:p>
    <w:p>
      <w:pPr>
        <w:keepNext w:val="false"/>
        <w:spacing w:after="120" w:before="140" w:line="276"/>
        <w:jc w:val="both"/>
      </w:pPr>
      <w:r>
        <w:rPr>
          <w:rFonts w:ascii="Calibri" w:cs="Calibri" w:eastAsia="Calibri" w:hAnsi="Calibri"/>
          <w:b w:val="false"/>
          <w:bCs w:val="false"/>
          <w:i w:val="false"/>
          <w:iCs w:val="false"/>
          <w:color w:val="20211F"/>
          <w:sz w:val="21"/>
          <w:szCs w:val="21"/>
        </w:rPr>
        <w:t xml:space="preserve">A note on sequencing and honesty. OutbreakVoice is presently a validated workflow prototype operating on simulated data; live deployment and the statistical detection layer form part of its proposed build, and the Phase 0 technical readiness assessment covers it. Detection algorithms also require a baseline before they can call anything unusual, and a community with no reporting history has none. The Programme therefore deploys the channel from day one — which is what builds the baseline, and what gives households a reason to keep calling — while the detection layer is proven in parallel. A surveillance system that only takes and never gives is abandoned within a year; one attached to a service people actually want is not.</w:t>
      </w:r>
    </w:p>
    <w:p>
      <w:pPr>
        <w:pStyle w:val="Heading2"/>
        <w:keepNext/>
        <w:spacing w:after="110" w:before="260"/>
      </w:pPr>
      <w:r>
        <w:rPr>
          <w:rFonts w:ascii="Calibri" w:cs="Calibri" w:eastAsia="Calibri" w:hAnsi="Calibri"/>
          <w:b/>
          <w:bCs/>
          <w:color w:val="0B6E4F"/>
          <w:sz w:val="24"/>
          <w:szCs w:val="24"/>
        </w:rPr>
        <w:t xml:space="preserve">8.5  The cost of waiting</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Nigeria will spend this money either way. The only open question is whether it is spent before the outbreak or after it.</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Spent after, it is spent on emergency procurement at emergency prices, on chartered transport into communities with no road, on treatment centres erected under canvas, on draws against a global vaccine stockpile that must then be replenished, and on the reputational cost of a case fatality rate that international partners can read. Spent before, the same money leaves behind a borehole that still works in 2040, a clinic that delivers babies in the meantime, and a community that no longer crosses an international boundary to drink.</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This is the rare instance in public health where the humanitarian argument, the security argument and the fiscal argument point at precisely the same intervention.</w:t>
      </w:r>
    </w:p>
    <w:tbl>
      <w:tblPr>
        <w:tblW w:type="dxa" w:w="9638"/>
        <w:tblBorders>
          <w:top w:val="single" w:color="C97E12" w:sz="4"/>
          <w:left w:val="single" w:color="C97E12" w:sz="24"/>
          <w:bottom w:val="single" w:color="C97E12" w:sz="4"/>
          <w:right w:val="single" w:color="C97E12" w:sz="4"/>
          <w:insideH w:val="none"/>
          <w:insideV w:val="none"/>
        </w:tblBorders>
      </w:tblPr>
      <w:tblGrid>
        <w:gridCol w:w="9638"/>
      </w:tblGrid>
      <w:tr>
        <w:tc>
          <w:tcPr>
            <w:tcW w:type="dxa" w:w="9638"/>
            <w:shd w:fill="FDF6E7" w:color="auto" w:val="clear"/>
            <w:tcMar>
              <w:top w:type="dxa" w:w="200"/>
              <w:left w:type="dxa" w:w="240"/>
              <w:bottom w:type="dxa" w:w="200"/>
              <w:right w:type="dxa" w:w="200"/>
            </w:tcMar>
          </w:tcPr>
          <w:p>
            <w:pPr>
              <w:keepNext w:val="false"/>
              <w:spacing w:after="100" w:before="0" w:line="264"/>
              <w:jc w:val="center"/>
            </w:pPr>
            <w:r>
              <w:rPr>
                <w:rFonts w:ascii="Calibri" w:cs="Calibri" w:eastAsia="Calibri" w:hAnsi="Calibri"/>
                <w:b/>
                <w:bCs/>
                <w:i w:val="false"/>
                <w:iCs w:val="false"/>
                <w:color w:val="07452F"/>
                <w:sz w:val="26"/>
                <w:szCs w:val="26"/>
              </w:rPr>
              <w:t xml:space="preserve">You cannot treat cholera without water.</w:t>
            </w:r>
          </w:p>
          <w:p>
            <w:pPr>
              <w:keepNext w:val="false"/>
              <w:spacing w:after="0" w:before="0" w:line="264"/>
              <w:jc w:val="center"/>
            </w:pPr>
            <w:r>
              <w:rPr>
                <w:rFonts w:ascii="Calibri" w:cs="Calibri" w:eastAsia="Calibri" w:hAnsi="Calibri"/>
                <w:b w:val="false"/>
                <w:bCs w:val="false"/>
                <w:i/>
                <w:iCs/>
                <w:color w:val="20211F"/>
                <w:sz w:val="21"/>
                <w:szCs w:val="21"/>
              </w:rPr>
              <w:t xml:space="preserve">This Programme is not a water project that happens to help in an epidemic. It is the epidemic preparedness of twenty million Nigerians, delivered as boreholes, clinics, light, roads and a phone number — and useful every single day in between.</w:t>
            </w:r>
          </w:p>
        </w:tc>
      </w:tr>
    </w:tbl>
    <w:p>
      <w:r>
        <w:br w:type="page"/>
      </w:r>
    </w:p>
    <w:p>
      <w:pPr>
        <w:pStyle w:val="Heading1"/>
        <w:keepNext/>
        <w:pBdr>
          <w:bottom w:val="single" w:color="0B6E4F" w:sz="10" w:space="6"/>
        </w:pBdr>
        <w:spacing w:after="160" w:before="360"/>
      </w:pPr>
      <w:r>
        <w:rPr>
          <w:rFonts w:ascii="Calibri" w:cs="Calibri" w:eastAsia="Calibri" w:hAnsi="Calibri"/>
          <w:b/>
          <w:bCs/>
          <w:color w:val="07452F"/>
          <w:sz w:val="30"/>
          <w:szCs w:val="30"/>
        </w:rPr>
        <w:t xml:space="preserve">9.  The Delivery Model: How This Gets Done Differently</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Nigeria has not lacked good intentions toward her border communities. What has been missing is a delivery model capable of surviving the last ten kilometres. Four design decisions address that.</w:t>
      </w:r>
    </w:p>
    <w:p>
      <w:pPr>
        <w:pStyle w:val="Heading2"/>
        <w:keepNext/>
        <w:spacing w:after="110" w:before="260"/>
      </w:pPr>
      <w:r>
        <w:rPr>
          <w:rFonts w:ascii="Calibri" w:cs="Calibri" w:eastAsia="Calibri" w:hAnsi="Calibri"/>
          <w:b/>
          <w:bCs/>
          <w:color w:val="0B6E4F"/>
          <w:sz w:val="24"/>
          <w:szCs w:val="24"/>
        </w:rPr>
        <w:t xml:space="preserve">9.1  Women-led: the Frontier Hope Ambassadors</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Every intervention community recruits and trains a cadre of Frontier Hope Ambassadors — predominantly women, resident in the community, selected with the traditional and religious leadership, paid a modest stipend, and equipped with a basic phone.</w:t>
      </w:r>
    </w:p>
    <w:p>
      <w:pPr>
        <w:pStyle w:val="ListParagraph"/>
        <w:numPr>
          <w:ilvl w:val="0"/>
          <w:numId w:val="2"/>
        </w:numPr>
        <w:spacing w:after="80" w:before="0" w:line="264"/>
        <w:jc w:val="left"/>
      </w:pPr>
      <w:r>
        <w:rPr>
          <w:rFonts w:ascii="Calibri" w:cs="Calibri" w:eastAsia="Calibri" w:hAnsi="Calibri"/>
          <w:color w:val="20211F"/>
          <w:sz w:val="21"/>
          <w:szCs w:val="21"/>
        </w:rPr>
        <w:t xml:space="preserve">They identify and follow every pregnant woman, every newborn, every child not in school, and every household in acute need.</w:t>
      </w:r>
    </w:p>
    <w:p>
      <w:pPr>
        <w:pStyle w:val="ListParagraph"/>
        <w:numPr>
          <w:ilvl w:val="0"/>
          <w:numId w:val="2"/>
        </w:numPr>
        <w:spacing w:after="80" w:before="0" w:line="264"/>
        <w:jc w:val="left"/>
      </w:pPr>
      <w:r>
        <w:rPr>
          <w:rFonts w:ascii="Calibri" w:cs="Calibri" w:eastAsia="Calibri" w:hAnsi="Calibri"/>
          <w:color w:val="20211F"/>
          <w:sz w:val="21"/>
          <w:szCs w:val="21"/>
        </w:rPr>
        <w:t xml:space="preserve">They are the community’s WASH caretakers, registration mobilisers, savings group leaders and early-warning reporters.</w:t>
      </w:r>
    </w:p>
    <w:p>
      <w:pPr>
        <w:pStyle w:val="ListParagraph"/>
        <w:numPr>
          <w:ilvl w:val="0"/>
          <w:numId w:val="2"/>
        </w:numPr>
        <w:spacing w:after="80" w:before="0" w:line="264"/>
        <w:jc w:val="left"/>
      </w:pPr>
      <w:r>
        <w:rPr>
          <w:rFonts w:ascii="Calibri" w:cs="Calibri" w:eastAsia="Calibri" w:hAnsi="Calibri"/>
          <w:color w:val="20211F"/>
          <w:sz w:val="21"/>
          <w:szCs w:val="21"/>
        </w:rPr>
        <w:t xml:space="preserve">They are the reason the Programme continues to function between visits from Abuja — and the reason it does not collapse when a contractor demobilises.</w:t>
      </w:r>
    </w:p>
    <w:p>
      <w:pPr>
        <w:keepNext w:val="false"/>
        <w:spacing w:after="120" w:before="100" w:line="276"/>
        <w:jc w:val="both"/>
      </w:pPr>
      <w:r>
        <w:rPr>
          <w:rFonts w:ascii="Calibri" w:cs="Calibri" w:eastAsia="Calibri" w:hAnsi="Calibri"/>
          <w:b w:val="false"/>
          <w:bCs w:val="false"/>
          <w:i w:val="false"/>
          <w:iCs w:val="false"/>
          <w:color w:val="20211F"/>
          <w:sz w:val="21"/>
          <w:szCs w:val="21"/>
        </w:rPr>
        <w:t xml:space="preserve">This design choice is deliberate and it is the Programme’s single most important one. A cadre of trained, paid, respected frontier women is simultaneously the delivery mechanism, the accountability mechanism, the economic empowerment intervention and the legacy.</w:t>
      </w:r>
    </w:p>
    <w:p>
      <w:pPr>
        <w:pStyle w:val="Heading2"/>
        <w:keepNext/>
        <w:spacing w:after="110" w:before="260"/>
      </w:pPr>
      <w:r>
        <w:rPr>
          <w:rFonts w:ascii="Calibri" w:cs="Calibri" w:eastAsia="Calibri" w:hAnsi="Calibri"/>
          <w:b/>
          <w:bCs/>
          <w:color w:val="0B6E4F"/>
          <w:sz w:val="24"/>
          <w:szCs w:val="24"/>
        </w:rPr>
        <w:t xml:space="preserve">9.2  Digital-first, and already built</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Programme does not propose to invent technology. The platforms it requires have already been developed by the implementing organisation for Nigerian conditions, and are designed around the reality that a frontier household has a basic handset and intermittent network, not a smartphone and broadband.</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2200"/>
        <w:gridCol w:w="4600"/>
        <w:gridCol w:w="2838"/>
      </w:tblGrid>
      <w:tr>
        <w:trPr>
          <w:tblHeader/>
        </w:trPr>
        <w:tc>
          <w:tcPr>
            <w:tcW w:type="dxa" w:w="22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Platform</w:t>
            </w:r>
          </w:p>
        </w:tc>
        <w:tc>
          <w:tcPr>
            <w:tcW w:type="dxa" w:w="46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Function at the frontier</w:t>
            </w:r>
          </w:p>
        </w:tc>
        <w:tc>
          <w:tcPr>
            <w:tcW w:type="dxa" w:w="28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Access channels</w:t>
            </w:r>
          </w:p>
        </w:tc>
      </w:tr>
      <w:tr>
        <w:tc>
          <w:tcPr>
            <w:tcW w:type="dxa" w:w="2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Sage</w:t>
            </w:r>
          </w:p>
        </w:tc>
        <w:tc>
          <w:tcPr>
            <w:tcW w:type="dxa" w:w="4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Conversational assessment of social and health needs across all major determinant domains; produces a household-level Social Health Index that feeds the community FVI score; routes people to real, verified local resources</w:t>
            </w:r>
          </w:p>
        </w:tc>
        <w:tc>
          <w:tcPr>
            <w:tcW w:type="dxa" w:w="28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App, WhatsApp, SMS, community health worker</w:t>
            </w:r>
          </w:p>
        </w:tc>
      </w:tr>
      <w:tr>
        <w:tc>
          <w:tcPr>
            <w:tcW w:type="dxa" w:w="22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OutbreakVoice</w:t>
            </w:r>
          </w:p>
        </w:tc>
        <w:tc>
          <w:tcPr>
            <w:tcW w:type="dxa" w:w="4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Voice-first community reporting of unusual illness or death in local languages on basic phones; cluster detection; signals escalated into the national IDSR and case-based surveillance systems and to the State PHEOC</w:t>
            </w:r>
          </w:p>
        </w:tc>
        <w:tc>
          <w:tcPr>
            <w:tcW w:type="dxa" w:w="28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Voice call, SMS, USSD</w:t>
            </w:r>
          </w:p>
        </w:tc>
      </w:tr>
      <w:tr>
        <w:tc>
          <w:tcPr>
            <w:tcW w:type="dxa" w:w="2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Sentinel</w:t>
            </w:r>
          </w:p>
        </w:tc>
        <w:tc>
          <w:tcPr>
            <w:tcW w:type="dxa" w:w="4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Phone-first cancer screening and triage, including cervical cancer risk assessment for frontier women</w:t>
            </w:r>
          </w:p>
        </w:tc>
        <w:tc>
          <w:tcPr>
            <w:tcW w:type="dxa" w:w="28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App, WhatsApp, SMS, CHEW-assisted</w:t>
            </w:r>
          </w:p>
        </w:tc>
      </w:tr>
      <w:tr>
        <w:tc>
          <w:tcPr>
            <w:tcW w:type="dxa" w:w="22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Aura</w:t>
            </w:r>
          </w:p>
        </w:tc>
        <w:tc>
          <w:tcPr>
            <w:tcW w:type="dxa" w:w="4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Maternal, menstrual and fertility support for women without a nearby facility, in local languages</w:t>
            </w:r>
          </w:p>
        </w:tc>
        <w:tc>
          <w:tcPr>
            <w:tcW w:type="dxa" w:w="28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App, WhatsApp, SMS</w:t>
            </w:r>
          </w:p>
        </w:tc>
      </w:tr>
      <w:tr>
        <w:tc>
          <w:tcPr>
            <w:tcW w:type="dxa" w:w="2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DoktorConnect</w:t>
            </w:r>
          </w:p>
        </w:tc>
        <w:tc>
          <w:tcPr>
            <w:tcW w:type="dxa" w:w="4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Teleconsultation with Nigerian physicians where no doctor is physically available</w:t>
            </w:r>
          </w:p>
        </w:tc>
        <w:tc>
          <w:tcPr>
            <w:tcW w:type="dxa" w:w="28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App, scheduled clinic sessions</w:t>
            </w:r>
          </w:p>
        </w:tc>
      </w:tr>
    </w:tbl>
    <w:p>
      <w:pPr>
        <w:keepNext w:val="false"/>
        <w:spacing w:after="120" w:before="120" w:line="276"/>
        <w:jc w:val="both"/>
      </w:pPr>
      <w:r>
        <w:rPr>
          <w:rFonts w:ascii="Calibri" w:cs="Calibri" w:eastAsia="Calibri" w:hAnsi="Calibri"/>
          <w:b w:val="false"/>
          <w:bCs w:val="false"/>
          <w:i/>
          <w:iCs/>
          <w:color w:val="6B6862"/>
          <w:sz w:val="19"/>
          <w:szCs w:val="19"/>
        </w:rPr>
        <w:t xml:space="preserve">A note on honesty: these platforms are at differing levels of maturity. Sage is in live deployment with WhatsApp and SMS channels operating and a provider dashboard in use. OutbreakVoice is a validated workflow prototype presently operating on simulated data, with field deployment as part of its proposed build. This proposal does not claim more than is true, and the Phase 0 workplan includes a technical readiness assessment for each platform before it is relied upon at scale.</w:t>
      </w:r>
    </w:p>
    <w:p>
      <w:pPr>
        <w:pStyle w:val="Heading2"/>
        <w:keepNext/>
        <w:spacing w:after="110" w:before="260"/>
      </w:pPr>
      <w:r>
        <w:rPr>
          <w:rFonts w:ascii="Calibri" w:cs="Calibri" w:eastAsia="Calibri" w:hAnsi="Calibri"/>
          <w:b/>
          <w:bCs/>
          <w:color w:val="0B6E4F"/>
          <w:sz w:val="24"/>
          <w:szCs w:val="24"/>
        </w:rPr>
        <w:t xml:space="preserve">9.3  Geo-verified delivery and public proof</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Every intervention is fixed to a GPS coordinate before commissioning and photographed at completion with an embedded coordinate and timestamp. Every completed item appears on a public dashboard that any Nigerian, any journalist and any Member of the National Assembly can inspect.</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This is not merely an anti-corruption safeguard, though it is that. It is a communications asset. A First Lady who can point to a live map and say ‘there are the boreholes, there are the coordinates, there are the photographs, go and check’ occupies a position no critic can easily attack.</w:t>
      </w:r>
    </w:p>
    <w:p>
      <w:pPr>
        <w:pStyle w:val="Heading2"/>
        <w:keepNext/>
        <w:spacing w:after="110" w:before="260"/>
      </w:pPr>
      <w:r>
        <w:rPr>
          <w:rFonts w:ascii="Calibri" w:cs="Calibri" w:eastAsia="Calibri" w:hAnsi="Calibri"/>
          <w:b/>
          <w:bCs/>
          <w:color w:val="0B6E4F"/>
          <w:sz w:val="24"/>
          <w:szCs w:val="24"/>
        </w:rPr>
        <w:t xml:space="preserve">9.4  The 21-State delivery network already exists</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Renewed Hope Initiative’s working partnership with the Nigeria Governors’ Spouses Forum provides, at no additional cost, a delivery and advocacy network in all 21 border States. The proposed structure assigns to the Spouse of the Governor in each border State the role of State Frontier Patron — convening State-level agencies, unlocking counterpart contributions, and hosting the State launch.</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This creates a national programme with genuine State ownership, a friendly form of inter-State comparison on published FVI improvement, and a mechanism through which Federal investment attracts State and private counterpart funding.</w:t>
      </w:r>
    </w:p>
    <w:p>
      <w:pPr>
        <w:pStyle w:val="Heading2"/>
        <w:keepNext/>
        <w:spacing w:after="110" w:before="260"/>
      </w:pPr>
      <w:r>
        <w:rPr>
          <w:rFonts w:ascii="Calibri" w:cs="Calibri" w:eastAsia="Calibri" w:hAnsi="Calibri"/>
          <w:b/>
          <w:bCs/>
          <w:color w:val="0B6E4F"/>
          <w:sz w:val="24"/>
          <w:szCs w:val="24"/>
        </w:rPr>
        <w:t xml:space="preserve">9.5  Partnership architecture</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3000"/>
        <w:gridCol w:w="6638"/>
      </w:tblGrid>
      <w:tr>
        <w:trPr>
          <w:tblHeader/>
        </w:trPr>
        <w:tc>
          <w:tcPr>
            <w:tcW w:type="dxa" w:w="30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Partner</w:t>
            </w:r>
          </w:p>
        </w:tc>
        <w:tc>
          <w:tcPr>
            <w:tcW w:type="dxa" w:w="66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Role</w:t>
            </w:r>
          </w:p>
        </w:tc>
      </w:tr>
      <w:tr>
        <w:tc>
          <w:tcPr>
            <w:tcW w:type="dxa" w:w="3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Renewed Hope Initiative</w:t>
            </w:r>
          </w:p>
        </w:tc>
        <w:tc>
          <w:tcPr>
            <w:tcW w:type="dxa" w:w="66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Convener, principal, and public face of the Programme; chair of the Programme Council</w:t>
            </w:r>
          </w:p>
        </w:tc>
      </w:tr>
      <w:tr>
        <w:tc>
          <w:tcPr>
            <w:tcW w:type="dxa" w:w="30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Border Communities Development Agency</w:t>
            </w:r>
          </w:p>
        </w:tc>
        <w:tc>
          <w:tcPr>
            <w:tcW w:type="dxa" w:w="66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Statutory owner of the border community mandate; co-owner of the National Frontier Register; primary channel for capital works</w:t>
            </w:r>
          </w:p>
        </w:tc>
      </w:tr>
      <w:tr>
        <w:tc>
          <w:tcPr>
            <w:tcW w:type="dxa" w:w="3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National Boundary Commission</w:t>
            </w:r>
          </w:p>
        </w:tc>
        <w:tc>
          <w:tcPr>
            <w:tcW w:type="dxa" w:w="66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Boundary verification and demarcation; validation of community eligibility</w:t>
            </w:r>
          </w:p>
        </w:tc>
      </w:tr>
      <w:tr>
        <w:tc>
          <w:tcPr>
            <w:tcW w:type="dxa" w:w="30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NASRDA</w:t>
            </w:r>
          </w:p>
        </w:tc>
        <w:tc>
          <w:tcPr>
            <w:tcW w:type="dxa" w:w="66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Satellite imagery, georeferencing and remote verification of delivery</w:t>
            </w:r>
          </w:p>
        </w:tc>
      </w:tr>
      <w:tr>
        <w:tc>
          <w:tcPr>
            <w:tcW w:type="dxa" w:w="3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National Population Commission &amp; NIMC</w:t>
            </w:r>
          </w:p>
        </w:tc>
        <w:tc>
          <w:tcPr>
            <w:tcW w:type="dxa" w:w="66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Birth registration and NIN enrolment at frontier registration points</w:t>
            </w:r>
          </w:p>
        </w:tc>
      </w:tr>
      <w:tr>
        <w:tc>
          <w:tcPr>
            <w:tcW w:type="dxa" w:w="30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NPHCDA &amp; Federal Ministry of Health and Social Welfare</w:t>
            </w:r>
          </w:p>
        </w:tc>
        <w:tc>
          <w:tcPr>
            <w:tcW w:type="dxa" w:w="66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Primary health centre standards, staffing, commodities and integration into the national system</w:t>
            </w:r>
          </w:p>
        </w:tc>
      </w:tr>
      <w:tr>
        <w:tc>
          <w:tcPr>
            <w:tcW w:type="dxa" w:w="3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National Health Insurance Authority &amp; State Social Health Insurance Agencies</w:t>
            </w:r>
          </w:p>
        </w:tc>
        <w:tc>
          <w:tcPr>
            <w:tcW w:type="dxa" w:w="66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Health coverage for frontier households through the Basic Health Care Provision Fund and the Vulnerable Group Fund; facility accreditation; carrier of risk</w:t>
            </w:r>
          </w:p>
        </w:tc>
      </w:tr>
      <w:tr>
        <w:tc>
          <w:tcPr>
            <w:tcW w:type="dxa" w:w="30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Federal Ministry of Education &amp; UBEC</w:t>
            </w:r>
          </w:p>
        </w:tc>
        <w:tc>
          <w:tcPr>
            <w:tcW w:type="dxa" w:w="66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School infrastructure, teacher deployment, accelerated learning</w:t>
            </w:r>
          </w:p>
        </w:tc>
      </w:tr>
      <w:tr>
        <w:tc>
          <w:tcPr>
            <w:tcW w:type="dxa" w:w="3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State Governments &amp; Governors’ Spouses</w:t>
            </w:r>
          </w:p>
        </w:tc>
        <w:tc>
          <w:tcPr>
            <w:tcW w:type="dxa" w:w="66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Counterpart funding, land, staffing, State Frontier Patron role</w:t>
            </w:r>
          </w:p>
        </w:tc>
      </w:tr>
      <w:tr>
        <w:tc>
          <w:tcPr>
            <w:tcW w:type="dxa" w:w="30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Traditional and religious institutions</w:t>
            </w:r>
          </w:p>
        </w:tc>
        <w:tc>
          <w:tcPr>
            <w:tcW w:type="dxa" w:w="66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Community entry, legitimacy, dispute resolution, beneficiary selection integrity</w:t>
            </w:r>
          </w:p>
        </w:tc>
      </w:tr>
      <w:tr>
        <w:tc>
          <w:tcPr>
            <w:tcW w:type="dxa" w:w="3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Development partners (UNICEF, UNFPA, IOM, WFP, World Bank)</w:t>
            </w:r>
          </w:p>
        </w:tc>
        <w:tc>
          <w:tcPr>
            <w:tcW w:type="dxa" w:w="66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Technical assistance, co-financing, and alignment with existing frontier and displacement programming</w:t>
            </w:r>
          </w:p>
        </w:tc>
      </w:tr>
      <w:tr>
        <w:tc>
          <w:tcPr>
            <w:tcW w:type="dxa" w:w="30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Private sector and diaspora</w:t>
            </w:r>
          </w:p>
        </w:tc>
        <w:tc>
          <w:tcPr>
            <w:tcW w:type="dxa" w:w="66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Matching contributions to the Frontier Endowment; connectivity and energy partnerships</w:t>
            </w:r>
          </w:p>
        </w:tc>
      </w:tr>
      <w:tr>
        <w:tc>
          <w:tcPr>
            <w:tcW w:type="dxa" w:w="3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Josmol Group / DoktorConnect / Omega Wellness Center</w:t>
            </w:r>
          </w:p>
        </w:tc>
        <w:tc>
          <w:tcPr>
            <w:tcW w:type="dxa" w:w="66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Technical implementation, digital platforms, assessment design, monitoring and evaluation</w:t>
            </w:r>
          </w:p>
        </w:tc>
      </w:tr>
    </w:tbl>
    <w:p>
      <w:r>
        <w:br w:type="page"/>
      </w:r>
    </w:p>
    <w:p>
      <w:pPr>
        <w:pStyle w:val="Heading1"/>
        <w:keepNext/>
        <w:pBdr>
          <w:bottom w:val="single" w:color="0B6E4F" w:sz="10" w:space="6"/>
        </w:pBdr>
        <w:spacing w:after="160" w:before="360"/>
      </w:pPr>
      <w:r>
        <w:rPr>
          <w:rFonts w:ascii="Calibri" w:cs="Calibri" w:eastAsia="Calibri" w:hAnsi="Calibri"/>
          <w:b/>
          <w:bCs/>
          <w:color w:val="07452F"/>
          <w:sz w:val="30"/>
          <w:szCs w:val="30"/>
        </w:rPr>
        <w:t xml:space="preserve">10.  Implementation Roadmap</w:t>
      </w:r>
    </w:p>
    <w:p>
      <w:pPr>
        <w:pStyle w:val="Heading2"/>
        <w:keepNext/>
        <w:spacing w:after="110" w:before="260"/>
      </w:pPr>
      <w:r>
        <w:rPr>
          <w:rFonts w:ascii="Calibri" w:cs="Calibri" w:eastAsia="Calibri" w:hAnsi="Calibri"/>
          <w:b/>
          <w:bCs/>
          <w:color w:val="0B6E4F"/>
          <w:sz w:val="24"/>
          <w:szCs w:val="24"/>
        </w:rPr>
        <w:t xml:space="preserve">10.1  Phase 0 — Frontier Assessment (Months 0–6)</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foundation. ₦30 million. This is the only phase for which immediate approval is requested.</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1900"/>
        <w:gridCol w:w="4600"/>
        <w:gridCol w:w="3138"/>
      </w:tblGrid>
      <w:tr>
        <w:trPr>
          <w:tblHeader/>
        </w:trPr>
        <w:tc>
          <w:tcPr>
            <w:tcW w:type="dxa" w:w="19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Workstream</w:t>
            </w:r>
          </w:p>
        </w:tc>
        <w:tc>
          <w:tcPr>
            <w:tcW w:type="dxa" w:w="46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Activity</w:t>
            </w:r>
          </w:p>
        </w:tc>
        <w:tc>
          <w:tcPr>
            <w:tcW w:type="dxa" w:w="31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Output</w:t>
            </w:r>
          </w:p>
        </w:tc>
      </w:tr>
      <w:tr>
        <w:tc>
          <w:tcPr>
            <w:tcW w:type="dxa" w:w="19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Instrument</w:t>
            </w:r>
          </w:p>
        </w:tc>
        <w:tc>
          <w:tcPr>
            <w:tcW w:type="dxa" w:w="4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Develop, expert-review and field-test the Frontier Vulnerability Index in three languages</w:t>
            </w:r>
          </w:p>
        </w:tc>
        <w:tc>
          <w:tcPr>
            <w:tcW w:type="dxa" w:w="31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Validated FVI instrument</w:t>
            </w:r>
          </w:p>
        </w:tc>
      </w:tr>
      <w:tr>
        <w:tc>
          <w:tcPr>
            <w:tcW w:type="dxa" w:w="19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Field assessment</w:t>
            </w:r>
          </w:p>
        </w:tc>
        <w:tc>
          <w:tcPr>
            <w:tcW w:type="dxa" w:w="4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Full household and facility assessment in 21 sentinel communities, one per border State</w:t>
            </w:r>
          </w:p>
        </w:tc>
        <w:tc>
          <w:tcPr>
            <w:tcW w:type="dxa" w:w="31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21 community vulnerability profiles</w:t>
            </w:r>
          </w:p>
        </w:tc>
      </w:tr>
      <w:tr>
        <w:tc>
          <w:tcPr>
            <w:tcW w:type="dxa" w:w="19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Georeferencing</w:t>
            </w:r>
          </w:p>
        </w:tc>
        <w:tc>
          <w:tcPr>
            <w:tcW w:type="dxa" w:w="4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GPS fixing and satellite validation of assessed settlements with NASRDA and the NBC</w:t>
            </w:r>
          </w:p>
        </w:tc>
        <w:tc>
          <w:tcPr>
            <w:tcW w:type="dxa" w:w="31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Verified coordinate set</w:t>
            </w:r>
          </w:p>
        </w:tc>
      </w:tr>
      <w:tr>
        <w:tc>
          <w:tcPr>
            <w:tcW w:type="dxa" w:w="19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Register</w:t>
            </w:r>
          </w:p>
        </w:tc>
        <w:tc>
          <w:tcPr>
            <w:tcW w:type="dxa" w:w="4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Extend scoring to the wider register using satellite, administrative and telephone assessment</w:t>
            </w:r>
          </w:p>
        </w:tc>
        <w:tc>
          <w:tcPr>
            <w:tcW w:type="dxa" w:w="31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National Frontier Register v1</w:t>
            </w:r>
          </w:p>
        </w:tc>
      </w:tr>
      <w:tr>
        <w:tc>
          <w:tcPr>
            <w:tcW w:type="dxa" w:w="19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Dashboard</w:t>
            </w:r>
          </w:p>
        </w:tc>
        <w:tc>
          <w:tcPr>
            <w:tcW w:type="dxa" w:w="4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Build and publish the public Frontier Dashboard</w:t>
            </w:r>
          </w:p>
        </w:tc>
        <w:tc>
          <w:tcPr>
            <w:tcW w:type="dxa" w:w="31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Live public platform</w:t>
            </w:r>
          </w:p>
        </w:tc>
      </w:tr>
      <w:tr>
        <w:tc>
          <w:tcPr>
            <w:tcW w:type="dxa" w:w="19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Testimony</w:t>
            </w:r>
          </w:p>
        </w:tc>
        <w:tc>
          <w:tcPr>
            <w:tcW w:type="dxa" w:w="4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Recorded interviews with mothers, teachers, traditional rulers and young people in each sentinel community</w:t>
            </w:r>
          </w:p>
        </w:tc>
        <w:tc>
          <w:tcPr>
            <w:tcW w:type="dxa" w:w="31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Documentary and advocacy asset</w:t>
            </w:r>
          </w:p>
        </w:tc>
      </w:tr>
      <w:tr>
        <w:tc>
          <w:tcPr>
            <w:tcW w:type="dxa" w:w="19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Plan</w:t>
            </w:r>
          </w:p>
        </w:tc>
        <w:tc>
          <w:tcPr>
            <w:tcW w:type="dxa" w:w="4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Costed, sequenced national intervention plan with unit costs validated in the field</w:t>
            </w:r>
          </w:p>
        </w:tc>
        <w:tc>
          <w:tcPr>
            <w:tcW w:type="dxa" w:w="31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Phase 1–3 investment case</w:t>
            </w:r>
          </w:p>
        </w:tc>
      </w:tr>
    </w:tbl>
    <w:p>
      <w:pPr>
        <w:pStyle w:val="Heading2"/>
        <w:keepNext/>
        <w:spacing w:after="110" w:before="260"/>
      </w:pPr>
      <w:r>
        <w:rPr>
          <w:rFonts w:ascii="Calibri" w:cs="Calibri" w:eastAsia="Calibri" w:hAnsi="Calibri"/>
          <w:b/>
          <w:bCs/>
          <w:color w:val="0B6E4F"/>
          <w:sz w:val="24"/>
          <w:szCs w:val="24"/>
        </w:rPr>
        <w:t xml:space="preserve">10.2  Phase 1 — The 100-Day Frontier Compassion Sprint (Months 4–9)</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Twenty-one communities. One in every border State. A complete package delivered in one hundred days, so that the Programme is visible, proven and photographed before the first anniversary of its approval.</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3400"/>
        <w:gridCol w:w="6238"/>
      </w:tblGrid>
      <w:tr>
        <w:trPr>
          <w:tblHeader/>
        </w:trPr>
        <w:tc>
          <w:tcPr>
            <w:tcW w:type="dxa" w:w="34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Deliverable per community</w:t>
            </w:r>
          </w:p>
        </w:tc>
        <w:tc>
          <w:tcPr>
            <w:tcW w:type="dxa" w:w="62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Specification</w:t>
            </w:r>
          </w:p>
        </w:tc>
      </w:tr>
      <w:tr>
        <w:tc>
          <w:tcPr>
            <w:tcW w:type="dxa" w:w="3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Solar-powered borehole</w:t>
            </w:r>
          </w:p>
        </w:tc>
        <w:tc>
          <w:tcPr>
            <w:tcW w:type="dxa" w:w="62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Community-sited, with trained caretaker, WASH committee and spare-parts chain</w:t>
            </w:r>
          </w:p>
        </w:tc>
      </w:tr>
      <w:tr>
        <w:tc>
          <w:tcPr>
            <w:tcW w:type="dxa" w:w="3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Primary health centre</w:t>
            </w:r>
          </w:p>
        </w:tc>
        <w:tc>
          <w:tcPr>
            <w:tcW w:type="dxa" w:w="62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Rehabilitated, equipped, staffed; delivery room, clean water, solar power, cold chain</w:t>
            </w:r>
          </w:p>
        </w:tc>
      </w:tr>
      <w:tr>
        <w:tc>
          <w:tcPr>
            <w:tcW w:type="dxa" w:w="3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Birth registration point</w:t>
            </w:r>
          </w:p>
        </w:tc>
        <w:tc>
          <w:tcPr>
            <w:tcW w:type="dxa" w:w="62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Co-located with the delivery point; linked to the national registration drive</w:t>
            </w:r>
          </w:p>
        </w:tc>
      </w:tr>
      <w:tr>
        <w:tc>
          <w:tcPr>
            <w:tcW w:type="dxa" w:w="3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Classroom block</w:t>
            </w:r>
          </w:p>
        </w:tc>
        <w:tc>
          <w:tcPr>
            <w:tcW w:type="dxa" w:w="62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Constructed or rehabilitated, furnished, with learning materials and school feeding</w:t>
            </w:r>
          </w:p>
        </w:tc>
      </w:tr>
      <w:tr>
        <w:tc>
          <w:tcPr>
            <w:tcW w:type="dxa" w:w="3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Solar mini-grid</w:t>
            </w:r>
          </w:p>
        </w:tc>
        <w:tc>
          <w:tcPr>
            <w:tcW w:type="dxa" w:w="62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Serving clinic, school, water point, market and community lighting</w:t>
            </w:r>
          </w:p>
        </w:tc>
      </w:tr>
      <w:tr>
        <w:tc>
          <w:tcPr>
            <w:tcW w:type="dxa" w:w="3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Frontier Hope Ambassadors</w:t>
            </w:r>
          </w:p>
        </w:tc>
        <w:tc>
          <w:tcPr>
            <w:tcW w:type="dxa" w:w="62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25 recruited, trained, equipped and stipended per community</w:t>
            </w:r>
          </w:p>
        </w:tc>
      </w:tr>
      <w:tr>
        <w:tc>
          <w:tcPr>
            <w:tcW w:type="dxa" w:w="3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Livelihood package</w:t>
            </w:r>
          </w:p>
        </w:tc>
        <w:tc>
          <w:tcPr>
            <w:tcW w:type="dxa" w:w="62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Agricultural inputs and a women-led savings and loan association</w:t>
            </w:r>
          </w:p>
        </w:tc>
      </w:tr>
      <w:tr>
        <w:tc>
          <w:tcPr>
            <w:tcW w:type="dxa" w:w="3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Digital enrolment</w:t>
            </w:r>
          </w:p>
        </w:tc>
        <w:tc>
          <w:tcPr>
            <w:tcW w:type="dxa" w:w="62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Community registered on the health and services platform across WhatsApp, SMS and CHEW channels</w:t>
            </w:r>
          </w:p>
        </w:tc>
      </w:tr>
    </w:tbl>
    <w:tbl>
      <w:tblPr>
        <w:tblW w:type="dxa" w:w="9638"/>
        <w:tblBorders>
          <w:top w:val="single" w:color="0B6E4F" w:sz="4"/>
          <w:left w:val="single" w:color="0B6E4F" w:sz="24"/>
          <w:bottom w:val="single" w:color="0B6E4F" w:sz="4"/>
          <w:right w:val="single" w:color="0B6E4F" w:sz="4"/>
          <w:insideH w:val="none"/>
          <w:insideV w:val="none"/>
        </w:tblBorders>
      </w:tblPr>
      <w:tblGrid>
        <w:gridCol w:w="9638"/>
      </w:tblGrid>
      <w:tr>
        <w:tc>
          <w:tcPr>
            <w:tcW w:type="dxa" w:w="9638"/>
            <w:shd w:fill="F5F4EE" w:color="auto" w:val="clear"/>
            <w:tcMar>
              <w:top w:type="dxa" w:w="200"/>
              <w:left w:type="dxa" w:w="240"/>
              <w:bottom w:type="dxa" w:w="200"/>
              <w:right w:type="dxa" w:w="200"/>
            </w:tcMar>
          </w:tcPr>
          <w:p>
            <w:pPr>
              <w:keepNext w:val="false"/>
              <w:spacing w:after="100" w:before="0" w:line="264"/>
              <w:jc w:val="left"/>
            </w:pPr>
            <w:r>
              <w:rPr>
                <w:rFonts w:ascii="Calibri" w:cs="Calibri" w:eastAsia="Calibri" w:hAnsi="Calibri"/>
                <w:b/>
                <w:bCs/>
                <w:i w:val="false"/>
                <w:iCs w:val="false"/>
                <w:color w:val="0B6E4F"/>
                <w:sz w:val="18"/>
                <w:szCs w:val="18"/>
              </w:rPr>
              <w:t xml:space="preserve">100-DAY TARGETS</w:t>
            </w:r>
          </w:p>
          <w:p>
            <w:pPr>
              <w:keepNext w:val="false"/>
              <w:spacing w:after="0" w:before="0" w:line="264"/>
              <w:jc w:val="left"/>
            </w:pPr>
            <w:r>
              <w:rPr>
                <w:rFonts w:ascii="Calibri" w:cs="Calibri" w:eastAsia="Calibri" w:hAnsi="Calibri"/>
                <w:b/>
                <w:bCs/>
                <w:i w:val="false"/>
                <w:iCs w:val="false"/>
                <w:color w:val="20211F"/>
                <w:sz w:val="21"/>
                <w:szCs w:val="21"/>
              </w:rPr>
              <w:t xml:space="preserve">21 communities · 500,000 people reached · 21 solar boreholes · 21 primary health centres equipped · 50,000 births registered · 525 Frontier Hope Ambassadors trained and earning · 21 State launches hosted by Governors’ Spouses</w:t>
            </w:r>
          </w:p>
        </w:tc>
      </w:tr>
    </w:tbl>
    <w:p>
      <w:pPr>
        <w:pStyle w:val="Heading2"/>
        <w:keepNext/>
        <w:spacing w:after="110" w:before="260"/>
      </w:pPr>
      <w:r>
        <w:rPr>
          <w:rFonts w:ascii="Calibri" w:cs="Calibri" w:eastAsia="Calibri" w:hAnsi="Calibri"/>
          <w:b/>
          <w:bCs/>
          <w:color w:val="0B6E4F"/>
          <w:sz w:val="24"/>
          <w:szCs w:val="24"/>
        </w:rPr>
        <w:t xml:space="preserve">10.3  Phase 2 — Renewed Hope Frontier 250 (Months 9–33)</w:t>
      </w:r>
    </w:p>
    <w:p>
      <w:pPr>
        <w:pStyle w:val="ListParagraph"/>
        <w:numPr>
          <w:ilvl w:val="0"/>
          <w:numId w:val="2"/>
        </w:numPr>
        <w:spacing w:after="80" w:before="0" w:line="264"/>
        <w:jc w:val="left"/>
      </w:pPr>
      <w:r>
        <w:rPr>
          <w:rFonts w:ascii="Calibri" w:cs="Calibri" w:eastAsia="Calibri" w:hAnsi="Calibri"/>
          <w:color w:val="20211F"/>
          <w:sz w:val="21"/>
          <w:szCs w:val="21"/>
        </w:rPr>
        <w:t xml:space="preserve">Scale to the 250 communities scoring lowest on the Frontier Vulnerability Index.</w:t>
      </w:r>
    </w:p>
    <w:p>
      <w:pPr>
        <w:pStyle w:val="ListParagraph"/>
        <w:numPr>
          <w:ilvl w:val="0"/>
          <w:numId w:val="2"/>
        </w:numPr>
        <w:spacing w:after="80" w:before="0" w:line="264"/>
        <w:jc w:val="left"/>
      </w:pPr>
      <w:r>
        <w:rPr>
          <w:rFonts w:ascii="Calibri" w:cs="Calibri" w:eastAsia="Calibri" w:hAnsi="Calibri"/>
          <w:color w:val="20211F"/>
          <w:sz w:val="21"/>
          <w:szCs w:val="21"/>
        </w:rPr>
        <w:t xml:space="preserve">Establish the first six international border markets as formal commercial hubs.</w:t>
      </w:r>
    </w:p>
    <w:p>
      <w:pPr>
        <w:pStyle w:val="ListParagraph"/>
        <w:numPr>
          <w:ilvl w:val="0"/>
          <w:numId w:val="2"/>
        </w:numPr>
        <w:spacing w:after="80" w:before="0" w:line="264"/>
        <w:jc w:val="left"/>
      </w:pPr>
      <w:r>
        <w:rPr>
          <w:rFonts w:ascii="Calibri" w:cs="Calibri" w:eastAsia="Calibri" w:hAnsi="Calibri"/>
          <w:color w:val="20211F"/>
          <w:sz w:val="21"/>
          <w:szCs w:val="21"/>
        </w:rPr>
        <w:t xml:space="preserve">Institutional strengthening for the Border Communities Development Agency and border-State local government authorities.</w:t>
      </w:r>
    </w:p>
    <w:p>
      <w:pPr>
        <w:pStyle w:val="ListParagraph"/>
        <w:numPr>
          <w:ilvl w:val="0"/>
          <w:numId w:val="2"/>
        </w:numPr>
        <w:spacing w:after="80" w:before="0" w:line="264"/>
        <w:jc w:val="left"/>
      </w:pPr>
      <w:r>
        <w:rPr>
          <w:rFonts w:ascii="Calibri" w:cs="Calibri" w:eastAsia="Calibri" w:hAnsi="Calibri"/>
          <w:color w:val="20211F"/>
          <w:sz w:val="21"/>
          <w:szCs w:val="21"/>
        </w:rPr>
        <w:t xml:space="preserve">Establish the Frontier Endowment and secure the first matching contributions from the private sector and diaspora.</w:t>
      </w:r>
    </w:p>
    <w:p>
      <w:pPr>
        <w:pStyle w:val="ListParagraph"/>
        <w:numPr>
          <w:ilvl w:val="0"/>
          <w:numId w:val="2"/>
        </w:numPr>
        <w:spacing w:after="80" w:before="0" w:line="264"/>
        <w:jc w:val="left"/>
      </w:pPr>
      <w:r>
        <w:rPr>
          <w:rFonts w:ascii="Calibri" w:cs="Calibri" w:eastAsia="Calibri" w:hAnsi="Calibri"/>
          <w:color w:val="20211F"/>
          <w:sz w:val="21"/>
          <w:szCs w:val="21"/>
        </w:rPr>
        <w:t xml:space="preserve">First independent evaluation, published in full, including whatever it finds.</w:t>
      </w:r>
    </w:p>
    <w:p>
      <w:pPr>
        <w:pStyle w:val="Heading2"/>
        <w:keepNext/>
        <w:spacing w:after="110" w:before="260"/>
      </w:pPr>
      <w:r>
        <w:rPr>
          <w:rFonts w:ascii="Calibri" w:cs="Calibri" w:eastAsia="Calibri" w:hAnsi="Calibri"/>
          <w:b/>
          <w:bCs/>
          <w:color w:val="0B6E4F"/>
          <w:sz w:val="24"/>
          <w:szCs w:val="24"/>
        </w:rPr>
        <w:t xml:space="preserve">10.4  Phase 3 — National Coverage (Years 3–8)</w:t>
      </w:r>
    </w:p>
    <w:p>
      <w:pPr>
        <w:pStyle w:val="ListParagraph"/>
        <w:numPr>
          <w:ilvl w:val="0"/>
          <w:numId w:val="2"/>
        </w:numPr>
        <w:spacing w:after="80" w:before="0" w:line="264"/>
        <w:jc w:val="left"/>
      </w:pPr>
      <w:r>
        <w:rPr>
          <w:rFonts w:ascii="Calibri" w:cs="Calibri" w:eastAsia="Calibri" w:hAnsi="Calibri"/>
          <w:color w:val="20211F"/>
          <w:sz w:val="21"/>
          <w:szCs w:val="21"/>
        </w:rPr>
        <w:t xml:space="preserve">Progressive coverage of all 2,000-plus border communities, sequenced by FVI score.</w:t>
      </w:r>
    </w:p>
    <w:p>
      <w:pPr>
        <w:pStyle w:val="ListParagraph"/>
        <w:numPr>
          <w:ilvl w:val="0"/>
          <w:numId w:val="2"/>
        </w:numPr>
        <w:spacing w:after="80" w:before="0" w:line="264"/>
        <w:jc w:val="left"/>
      </w:pPr>
      <w:r>
        <w:rPr>
          <w:rFonts w:ascii="Calibri" w:cs="Calibri" w:eastAsia="Calibri" w:hAnsi="Calibri"/>
          <w:color w:val="20211F"/>
          <w:sz w:val="21"/>
          <w:szCs w:val="21"/>
        </w:rPr>
        <w:t xml:space="preserve">Full integration of the National Frontier Register into Federal and State planning and budgeting cycles.</w:t>
      </w:r>
    </w:p>
    <w:p>
      <w:pPr>
        <w:pStyle w:val="ListParagraph"/>
        <w:numPr>
          <w:ilvl w:val="0"/>
          <w:numId w:val="2"/>
        </w:numPr>
        <w:spacing w:after="80" w:before="0" w:line="264"/>
        <w:jc w:val="left"/>
      </w:pPr>
      <w:r>
        <w:rPr>
          <w:rFonts w:ascii="Calibri" w:cs="Calibri" w:eastAsia="Calibri" w:hAnsi="Calibri"/>
          <w:color w:val="20211F"/>
          <w:sz w:val="21"/>
          <w:szCs w:val="21"/>
        </w:rPr>
        <w:t xml:space="preserve">Cross-border cooperation frameworks with Benin, Niger, Chad and Cameroon on shared service delivery and joint surveillance.</w:t>
      </w:r>
    </w:p>
    <w:p>
      <w:pPr>
        <w:pStyle w:val="ListParagraph"/>
        <w:numPr>
          <w:ilvl w:val="0"/>
          <w:numId w:val="2"/>
        </w:numPr>
        <w:spacing w:after="80" w:before="0" w:line="264"/>
        <w:jc w:val="left"/>
      </w:pPr>
      <w:r>
        <w:rPr>
          <w:rFonts w:ascii="Calibri" w:cs="Calibri" w:eastAsia="Calibri" w:hAnsi="Calibri"/>
          <w:color w:val="20211F"/>
          <w:sz w:val="21"/>
          <w:szCs w:val="21"/>
        </w:rPr>
        <w:t xml:space="preserve">Transition of Programme functions into permanent institutional homes, with the Renewed Hope Initiative retaining the convening and advocacy role.</w:t>
      </w:r>
    </w:p>
    <w:p>
      <w:r>
        <w:br w:type="page"/>
      </w:r>
    </w:p>
    <w:p>
      <w:pPr>
        <w:pStyle w:val="Heading1"/>
        <w:keepNext/>
        <w:pBdr>
          <w:bottom w:val="single" w:color="0B6E4F" w:sz="10" w:space="6"/>
        </w:pBdr>
        <w:spacing w:after="160" w:before="360"/>
      </w:pPr>
      <w:r>
        <w:rPr>
          <w:rFonts w:ascii="Calibri" w:cs="Calibri" w:eastAsia="Calibri" w:hAnsi="Calibri"/>
          <w:b/>
          <w:bCs/>
          <w:color w:val="07452F"/>
          <w:sz w:val="30"/>
          <w:szCs w:val="30"/>
        </w:rPr>
        <w:t xml:space="preserve">11.  Budget and Funding Architecture</w:t>
      </w:r>
    </w:p>
    <w:p>
      <w:pPr>
        <w:pStyle w:val="Heading2"/>
        <w:keepNext/>
        <w:spacing w:after="110" w:before="260"/>
      </w:pPr>
      <w:r>
        <w:rPr>
          <w:rFonts w:ascii="Calibri" w:cs="Calibri" w:eastAsia="Calibri" w:hAnsi="Calibri"/>
          <w:b/>
          <w:bCs/>
          <w:color w:val="0B6E4F"/>
          <w:sz w:val="24"/>
          <w:szCs w:val="24"/>
        </w:rPr>
        <w:t xml:space="preserve">11.1  Phase 0 — detailed budget (the immediate ask)</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4200"/>
        <w:gridCol w:w="2200"/>
        <w:gridCol w:w="3238"/>
      </w:tblGrid>
      <w:tr>
        <w:trPr>
          <w:tblHeader/>
        </w:trPr>
        <w:tc>
          <w:tcPr>
            <w:tcW w:type="dxa" w:w="42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Line item</w:t>
            </w:r>
          </w:p>
        </w:tc>
        <w:tc>
          <w:tcPr>
            <w:tcW w:type="dxa" w:w="22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Amount (₦)</w:t>
            </w:r>
          </w:p>
        </w:tc>
        <w:tc>
          <w:tcPr>
            <w:tcW w:type="dxa" w:w="32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Notes</w:t>
            </w:r>
          </w:p>
        </w:tc>
      </w:tr>
      <w:tr>
        <w:tc>
          <w:tcPr>
            <w:tcW w:type="dxa" w:w="4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Instrument development, expert review and multilingual field testing</w:t>
            </w:r>
          </w:p>
        </w:tc>
        <w:tc>
          <w:tcPr>
            <w:tcW w:type="dxa" w:w="2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3,200,000</w:t>
            </w:r>
          </w:p>
        </w:tc>
        <w:tc>
          <w:tcPr>
            <w:tcW w:type="dxa" w:w="32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Includes cognitive testing in three languages</w:t>
            </w:r>
          </w:p>
        </w:tc>
      </w:tr>
      <w:tr>
        <w:tc>
          <w:tcPr>
            <w:tcW w:type="dxa" w:w="42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Field assessment in 21 sentinel communities</w:t>
            </w:r>
          </w:p>
        </w:tc>
        <w:tc>
          <w:tcPr>
            <w:tcW w:type="dxa" w:w="22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11,400,000</w:t>
            </w:r>
          </w:p>
        </w:tc>
        <w:tc>
          <w:tcPr>
            <w:tcW w:type="dxa" w:w="32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Enumerator recruitment, training, transport, security, per diem, community entry</w:t>
            </w:r>
          </w:p>
        </w:tc>
      </w:tr>
      <w:tr>
        <w:tc>
          <w:tcPr>
            <w:tcW w:type="dxa" w:w="4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Georeferencing and satellite validation</w:t>
            </w:r>
          </w:p>
        </w:tc>
        <w:tc>
          <w:tcPr>
            <w:tcW w:type="dxa" w:w="2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2,600,000</w:t>
            </w:r>
          </w:p>
        </w:tc>
        <w:tc>
          <w:tcPr>
            <w:tcW w:type="dxa" w:w="32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In collaboration with NASRDA and the NBC</w:t>
            </w:r>
          </w:p>
        </w:tc>
      </w:tr>
      <w:tr>
        <w:tc>
          <w:tcPr>
            <w:tcW w:type="dxa" w:w="42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Data platform, National Frontier Register and public dashboard</w:t>
            </w:r>
          </w:p>
        </w:tc>
        <w:tc>
          <w:tcPr>
            <w:tcW w:type="dxa" w:w="22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4,800,000</w:t>
            </w:r>
          </w:p>
        </w:tc>
        <w:tc>
          <w:tcPr>
            <w:tcW w:type="dxa" w:w="32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Build, hosting and first-year operation</w:t>
            </w:r>
          </w:p>
        </w:tc>
      </w:tr>
      <w:tr>
        <w:tc>
          <w:tcPr>
            <w:tcW w:type="dxa" w:w="4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Documentary testimony capture and editing</w:t>
            </w:r>
          </w:p>
        </w:tc>
        <w:tc>
          <w:tcPr>
            <w:tcW w:type="dxa" w:w="2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2,400,000</w:t>
            </w:r>
          </w:p>
        </w:tc>
        <w:tc>
          <w:tcPr>
            <w:tcW w:type="dxa" w:w="32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Recorded interviews across the 21 communities</w:t>
            </w:r>
          </w:p>
        </w:tc>
      </w:tr>
      <w:tr>
        <w:tc>
          <w:tcPr>
            <w:tcW w:type="dxa" w:w="42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Stakeholder engagement, validation workshops and report production</w:t>
            </w:r>
          </w:p>
        </w:tc>
        <w:tc>
          <w:tcPr>
            <w:tcW w:type="dxa" w:w="22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2,600,000</w:t>
            </w:r>
          </w:p>
        </w:tc>
        <w:tc>
          <w:tcPr>
            <w:tcW w:type="dxa" w:w="32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Federal, State and community validation</w:t>
            </w:r>
          </w:p>
        </w:tc>
      </w:tr>
      <w:tr>
        <w:tc>
          <w:tcPr>
            <w:tcW w:type="dxa" w:w="4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Programme management, monitoring and contingency</w:t>
            </w:r>
          </w:p>
        </w:tc>
        <w:tc>
          <w:tcPr>
            <w:tcW w:type="dxa" w:w="2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3,000,000</w:t>
            </w:r>
          </w:p>
        </w:tc>
        <w:tc>
          <w:tcPr>
            <w:tcW w:type="dxa" w:w="32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10% of total</w:t>
            </w:r>
          </w:p>
        </w:tc>
      </w:tr>
      <w:tr>
        <w:tc>
          <w:tcPr>
            <w:tcW w:type="dxa" w:w="42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TOTAL PHASE 0</w:t>
            </w:r>
          </w:p>
        </w:tc>
        <w:tc>
          <w:tcPr>
            <w:tcW w:type="dxa" w:w="22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30,000,000</w:t>
            </w:r>
          </w:p>
        </w:tc>
        <w:tc>
          <w:tcPr>
            <w:tcW w:type="dxa" w:w="32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w:t>
            </w:r>
          </w:p>
        </w:tc>
      </w:tr>
    </w:tbl>
    <w:p>
      <w:pPr>
        <w:pStyle w:val="Heading2"/>
        <w:keepNext/>
        <w:spacing w:after="110" w:before="260"/>
      </w:pPr>
      <w:r>
        <w:rPr>
          <w:rFonts w:ascii="Calibri" w:cs="Calibri" w:eastAsia="Calibri" w:hAnsi="Calibri"/>
          <w:b/>
          <w:bCs/>
          <w:color w:val="0B6E4F"/>
          <w:sz w:val="24"/>
          <w:szCs w:val="24"/>
        </w:rPr>
        <w:t xml:space="preserve">11.2  Indicative programme investment</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1200"/>
        <w:gridCol w:w="3200"/>
        <w:gridCol w:w="2400"/>
        <w:gridCol w:w="2838"/>
      </w:tblGrid>
      <w:tr>
        <w:trPr>
          <w:tblHeader/>
        </w:trPr>
        <w:tc>
          <w:tcPr>
            <w:tcW w:type="dxa" w:w="12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Phase</w:t>
            </w:r>
          </w:p>
        </w:tc>
        <w:tc>
          <w:tcPr>
            <w:tcW w:type="dxa" w:w="32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Scope</w:t>
            </w:r>
          </w:p>
        </w:tc>
        <w:tc>
          <w:tcPr>
            <w:tcW w:type="dxa" w:w="24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Investment (₦)</w:t>
            </w:r>
          </w:p>
        </w:tc>
        <w:tc>
          <w:tcPr>
            <w:tcW w:type="dxa" w:w="28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Cost per person reached</w:t>
            </w:r>
          </w:p>
        </w:tc>
      </w:tr>
      <w:tr>
        <w:tc>
          <w:tcPr>
            <w:tcW w:type="dxa" w:w="1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Phase 0</w:t>
            </w:r>
          </w:p>
        </w:tc>
        <w:tc>
          <w:tcPr>
            <w:tcW w:type="dxa" w:w="3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Assessment, Register, dashboard, national plan</w:t>
            </w:r>
          </w:p>
        </w:tc>
        <w:tc>
          <w:tcPr>
            <w:tcW w:type="dxa" w:w="2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30 million</w:t>
            </w:r>
          </w:p>
        </w:tc>
        <w:tc>
          <w:tcPr>
            <w:tcW w:type="dxa" w:w="28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w:t>
            </w:r>
          </w:p>
        </w:tc>
      </w:tr>
      <w:tr>
        <w:tc>
          <w:tcPr>
            <w:tcW w:type="dxa" w:w="12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Phase 1</w:t>
            </w:r>
          </w:p>
        </w:tc>
        <w:tc>
          <w:tcPr>
            <w:tcW w:type="dxa" w:w="32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21 communities · approx. 500,000 people</w:t>
            </w:r>
          </w:p>
        </w:tc>
        <w:tc>
          <w:tcPr>
            <w:tcW w:type="dxa" w:w="2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2.4 billion</w:t>
            </w:r>
          </w:p>
        </w:tc>
        <w:tc>
          <w:tcPr>
            <w:tcW w:type="dxa" w:w="28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approx. ₦4,800</w:t>
            </w:r>
          </w:p>
        </w:tc>
      </w:tr>
      <w:tr>
        <w:tc>
          <w:tcPr>
            <w:tcW w:type="dxa" w:w="1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Phase 2</w:t>
            </w:r>
          </w:p>
        </w:tc>
        <w:tc>
          <w:tcPr>
            <w:tcW w:type="dxa" w:w="32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250 communities · approx. 2.5 million people</w:t>
            </w:r>
          </w:p>
        </w:tc>
        <w:tc>
          <w:tcPr>
            <w:tcW w:type="dxa" w:w="2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21 billion</w:t>
            </w:r>
          </w:p>
        </w:tc>
        <w:tc>
          <w:tcPr>
            <w:tcW w:type="dxa" w:w="28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approx. ₦8,400</w:t>
            </w:r>
          </w:p>
        </w:tc>
      </w:tr>
      <w:tr>
        <w:tc>
          <w:tcPr>
            <w:tcW w:type="dxa" w:w="12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Phase 3</w:t>
            </w:r>
          </w:p>
        </w:tc>
        <w:tc>
          <w:tcPr>
            <w:tcW w:type="dxa" w:w="32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2,000+ communities · 20 million people</w:t>
            </w:r>
          </w:p>
        </w:tc>
        <w:tc>
          <w:tcPr>
            <w:tcW w:type="dxa" w:w="2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180 billion (blended)</w:t>
            </w:r>
          </w:p>
        </w:tc>
        <w:tc>
          <w:tcPr>
            <w:tcW w:type="dxa" w:w="28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approx. ₦9,000</w:t>
            </w:r>
          </w:p>
        </w:tc>
      </w:tr>
    </w:tbl>
    <w:p>
      <w:pPr>
        <w:keepNext w:val="false"/>
        <w:spacing w:after="120" w:before="120" w:line="276"/>
        <w:jc w:val="both"/>
      </w:pPr>
      <w:r>
        <w:rPr>
          <w:rFonts w:ascii="Calibri" w:cs="Calibri" w:eastAsia="Calibri" w:hAnsi="Calibri"/>
          <w:b w:val="false"/>
          <w:bCs w:val="false"/>
          <w:i/>
          <w:iCs/>
          <w:color w:val="6B6862"/>
          <w:sz w:val="19"/>
          <w:szCs w:val="19"/>
        </w:rPr>
        <w:t xml:space="preserve">Phase 1–3 figures are indicative planning estimates. One of the express purposes of Phase 0 is to replace them with unit costs validated in the field, community by community. No commitment beyond Phase 0 is sought until that validation is complete.</w:t>
      </w:r>
    </w:p>
    <w:p>
      <w:pPr>
        <w:pStyle w:val="Heading2"/>
        <w:keepNext/>
        <w:spacing w:after="110" w:before="260"/>
      </w:pPr>
      <w:r>
        <w:rPr>
          <w:rFonts w:ascii="Calibri" w:cs="Calibri" w:eastAsia="Calibri" w:hAnsi="Calibri"/>
          <w:b/>
          <w:bCs/>
          <w:color w:val="0B6E4F"/>
          <w:sz w:val="24"/>
          <w:szCs w:val="24"/>
        </w:rPr>
        <w:t xml:space="preserve">11.3  Funding architecture</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This Programme is not designed to rest on a single source. The intention is that the Renewed Hope Initiative’s convening authority should mobilise capital from several directions at once.</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3000"/>
        <w:gridCol w:w="6638"/>
      </w:tblGrid>
      <w:tr>
        <w:trPr>
          <w:tblHeader/>
        </w:trPr>
        <w:tc>
          <w:tcPr>
            <w:tcW w:type="dxa" w:w="30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Source</w:t>
            </w:r>
          </w:p>
        </w:tc>
        <w:tc>
          <w:tcPr>
            <w:tcW w:type="dxa" w:w="66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Role</w:t>
            </w:r>
          </w:p>
        </w:tc>
      </w:tr>
      <w:tr>
        <w:tc>
          <w:tcPr>
            <w:tcW w:type="dxa" w:w="3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Existing Federal appropriation</w:t>
            </w:r>
          </w:p>
        </w:tc>
        <w:tc>
          <w:tcPr>
            <w:tcW w:type="dxa" w:w="66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The ₦50 billion border community allocation already provided for in the budget, directed by the National Frontier Register rather than by request</w:t>
            </w:r>
          </w:p>
        </w:tc>
      </w:tr>
      <w:tr>
        <w:tc>
          <w:tcPr>
            <w:tcW w:type="dxa" w:w="30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State counterpart funding</w:t>
            </w:r>
          </w:p>
        </w:tc>
        <w:tc>
          <w:tcPr>
            <w:tcW w:type="dxa" w:w="66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Each border State contributing land, staffing, recurrent costs and a counterpart capital sum, convened by the State Frontier Patron</w:t>
            </w:r>
          </w:p>
        </w:tc>
      </w:tr>
      <w:tr>
        <w:tc>
          <w:tcPr>
            <w:tcW w:type="dxa" w:w="3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Development partners</w:t>
            </w:r>
          </w:p>
        </w:tc>
        <w:tc>
          <w:tcPr>
            <w:tcW w:type="dxa" w:w="66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Co-financing aligned to existing frontier, maternal health, education and displacement programming</w:t>
            </w:r>
          </w:p>
        </w:tc>
      </w:tr>
      <w:tr>
        <w:tc>
          <w:tcPr>
            <w:tcW w:type="dxa" w:w="30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Private sector matching</w:t>
            </w:r>
          </w:p>
        </w:tc>
        <w:tc>
          <w:tcPr>
            <w:tcW w:type="dxa" w:w="66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A published matching scheme — one borehole matched for every borehole funded — with corporate recognition on the public dashboard</w:t>
            </w:r>
          </w:p>
        </w:tc>
      </w:tr>
      <w:tr>
        <w:tc>
          <w:tcPr>
            <w:tcW w:type="dxa" w:w="3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Diaspora contribution</w:t>
            </w:r>
          </w:p>
        </w:tc>
        <w:tc>
          <w:tcPr>
            <w:tcW w:type="dxa" w:w="66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A structured diaspora giving channel, with donors able to adopt a named frontier community and follow its FVI score</w:t>
            </w:r>
          </w:p>
        </w:tc>
      </w:tr>
      <w:tr>
        <w:tc>
          <w:tcPr>
            <w:tcW w:type="dxa" w:w="30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NHIA / BHCPF / Vulnerable Group Fund</w:t>
            </w:r>
          </w:p>
        </w:tc>
        <w:tc>
          <w:tcPr>
            <w:tcW w:type="dxa" w:w="66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Recurrent financing of care in frontier facilities through the existing statutory mechanism — no new appropriation required, and the Programme’s single largest source of long-term sustainability</w:t>
            </w:r>
          </w:p>
        </w:tc>
      </w:tr>
      <w:tr>
        <w:tc>
          <w:tcPr>
            <w:tcW w:type="dxa" w:w="3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The Frontier Endowment</w:t>
            </w:r>
          </w:p>
        </w:tc>
        <w:tc>
          <w:tcPr>
            <w:tcW w:type="dxa" w:w="66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A permanent endowment established in Phase 2 to fund maintenance, spare parts and the Ambassador stipend in perpetuity — so that the boreholes are still working in 2040</w:t>
            </w:r>
          </w:p>
        </w:tc>
      </w:tr>
    </w:tbl>
    <w:p>
      <w:r>
        <w:br w:type="page"/>
      </w:r>
    </w:p>
    <w:p>
      <w:pPr>
        <w:pStyle w:val="Heading1"/>
        <w:keepNext/>
        <w:pBdr>
          <w:bottom w:val="single" w:color="0B6E4F" w:sz="10" w:space="6"/>
        </w:pBdr>
        <w:spacing w:after="160" w:before="360"/>
      </w:pPr>
      <w:r>
        <w:rPr>
          <w:rFonts w:ascii="Calibri" w:cs="Calibri" w:eastAsia="Calibri" w:hAnsi="Calibri"/>
          <w:b/>
          <w:bCs/>
          <w:color w:val="07452F"/>
          <w:sz w:val="30"/>
          <w:szCs w:val="30"/>
        </w:rPr>
        <w:t xml:space="preserve">12.  Results Framework</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Programme commits in advance to the indicators against which it should be judged, and to publishing performance against them whether or not the results are flattering.</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3000"/>
        <w:gridCol w:w="1600"/>
        <w:gridCol w:w="1600"/>
        <w:gridCol w:w="1600"/>
        <w:gridCol w:w="1838"/>
      </w:tblGrid>
      <w:tr>
        <w:trPr>
          <w:tblHeader/>
        </w:trPr>
        <w:tc>
          <w:tcPr>
            <w:tcW w:type="dxa" w:w="30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Indicator</w:t>
            </w:r>
          </w:p>
        </w:tc>
        <w:tc>
          <w:tcPr>
            <w:tcW w:type="dxa" w:w="16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Baseline</w:t>
            </w:r>
          </w:p>
        </w:tc>
        <w:tc>
          <w:tcPr>
            <w:tcW w:type="dxa" w:w="16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100 days</w:t>
            </w:r>
          </w:p>
        </w:tc>
        <w:tc>
          <w:tcPr>
            <w:tcW w:type="dxa" w:w="16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24 months</w:t>
            </w:r>
          </w:p>
        </w:tc>
        <w:tc>
          <w:tcPr>
            <w:tcW w:type="dxa" w:w="18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60 months</w:t>
            </w:r>
          </w:p>
        </w:tc>
      </w:tr>
      <w:tr>
        <w:tc>
          <w:tcPr>
            <w:tcW w:type="dxa" w:w="3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Cross-Border Dependency Rate (intervention communities)</w:t>
            </w:r>
          </w:p>
        </w:tc>
        <w:tc>
          <w:tcPr>
            <w:tcW w:type="dxa" w:w="1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To be established in Phase 0</w:t>
            </w:r>
          </w:p>
        </w:tc>
        <w:tc>
          <w:tcPr>
            <w:tcW w:type="dxa" w:w="1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Measured</w:t>
            </w:r>
          </w:p>
        </w:tc>
        <w:tc>
          <w:tcPr>
            <w:tcW w:type="dxa" w:w="1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−50%</w:t>
            </w:r>
          </w:p>
        </w:tc>
        <w:tc>
          <w:tcPr>
            <w:tcW w:type="dxa" w:w="18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−80%</w:t>
            </w:r>
          </w:p>
        </w:tc>
      </w:tr>
      <w:tr>
        <w:tc>
          <w:tcPr>
            <w:tcW w:type="dxa" w:w="30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Households within 1 km of a functioning safe water point</w:t>
            </w:r>
          </w:p>
        </w:tc>
        <w:tc>
          <w:tcPr>
            <w:tcW w:type="dxa" w:w="1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Phase 0</w:t>
            </w:r>
          </w:p>
        </w:tc>
        <w:tc>
          <w:tcPr>
            <w:tcW w:type="dxa" w:w="1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21 communities served</w:t>
            </w:r>
          </w:p>
        </w:tc>
        <w:tc>
          <w:tcPr>
            <w:tcW w:type="dxa" w:w="1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90%</w:t>
            </w:r>
          </w:p>
        </w:tc>
        <w:tc>
          <w:tcPr>
            <w:tcW w:type="dxa" w:w="18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98%</w:t>
            </w:r>
          </w:p>
        </w:tc>
      </w:tr>
      <w:tr>
        <w:tc>
          <w:tcPr>
            <w:tcW w:type="dxa" w:w="3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Births attended by a skilled attendant inside Nigeria</w:t>
            </w:r>
          </w:p>
        </w:tc>
        <w:tc>
          <w:tcPr>
            <w:tcW w:type="dxa" w:w="1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Phase 0</w:t>
            </w:r>
          </w:p>
        </w:tc>
        <w:tc>
          <w:tcPr>
            <w:tcW w:type="dxa" w:w="1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Baseline + delivery points live</w:t>
            </w:r>
          </w:p>
        </w:tc>
        <w:tc>
          <w:tcPr>
            <w:tcW w:type="dxa" w:w="1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80%</w:t>
            </w:r>
          </w:p>
        </w:tc>
        <w:tc>
          <w:tcPr>
            <w:tcW w:type="dxa" w:w="18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95%</w:t>
            </w:r>
          </w:p>
        </w:tc>
      </w:tr>
      <w:tr>
        <w:tc>
          <w:tcPr>
            <w:tcW w:type="dxa" w:w="30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Births registered within 60 days</w:t>
            </w:r>
          </w:p>
        </w:tc>
        <w:tc>
          <w:tcPr>
            <w:tcW w:type="dxa" w:w="1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Phase 0</w:t>
            </w:r>
          </w:p>
        </w:tc>
        <w:tc>
          <w:tcPr>
            <w:tcW w:type="dxa" w:w="1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50,000 registered</w:t>
            </w:r>
          </w:p>
        </w:tc>
        <w:tc>
          <w:tcPr>
            <w:tcW w:type="dxa" w:w="1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85%</w:t>
            </w:r>
          </w:p>
        </w:tc>
        <w:tc>
          <w:tcPr>
            <w:tcW w:type="dxa" w:w="18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95%</w:t>
            </w:r>
          </w:p>
        </w:tc>
      </w:tr>
      <w:tr>
        <w:tc>
          <w:tcPr>
            <w:tcW w:type="dxa" w:w="3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Children of school age out of school</w:t>
            </w:r>
          </w:p>
        </w:tc>
        <w:tc>
          <w:tcPr>
            <w:tcW w:type="dxa" w:w="1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Phase 0</w:t>
            </w:r>
          </w:p>
        </w:tc>
        <w:tc>
          <w:tcPr>
            <w:tcW w:type="dxa" w:w="1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Enrolment drive complete</w:t>
            </w:r>
          </w:p>
        </w:tc>
        <w:tc>
          <w:tcPr>
            <w:tcW w:type="dxa" w:w="1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−50%</w:t>
            </w:r>
          </w:p>
        </w:tc>
        <w:tc>
          <w:tcPr>
            <w:tcW w:type="dxa" w:w="18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−75%</w:t>
            </w:r>
          </w:p>
        </w:tc>
      </w:tr>
      <w:tr>
        <w:tc>
          <w:tcPr>
            <w:tcW w:type="dxa" w:w="30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Households with access to electricity</w:t>
            </w:r>
          </w:p>
        </w:tc>
        <w:tc>
          <w:tcPr>
            <w:tcW w:type="dxa" w:w="1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Phase 0</w:t>
            </w:r>
          </w:p>
        </w:tc>
        <w:tc>
          <w:tcPr>
            <w:tcW w:type="dxa" w:w="1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21 mini-grids live</w:t>
            </w:r>
          </w:p>
        </w:tc>
        <w:tc>
          <w:tcPr>
            <w:tcW w:type="dxa" w:w="1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60%</w:t>
            </w:r>
          </w:p>
        </w:tc>
        <w:tc>
          <w:tcPr>
            <w:tcW w:type="dxa" w:w="18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85%</w:t>
            </w:r>
          </w:p>
        </w:tc>
      </w:tr>
      <w:tr>
        <w:tc>
          <w:tcPr>
            <w:tcW w:type="dxa" w:w="3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Women in a functioning savings and loan association</w:t>
            </w:r>
          </w:p>
        </w:tc>
        <w:tc>
          <w:tcPr>
            <w:tcW w:type="dxa" w:w="1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0</w:t>
            </w:r>
          </w:p>
        </w:tc>
        <w:tc>
          <w:tcPr>
            <w:tcW w:type="dxa" w:w="1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21 groups formed</w:t>
            </w:r>
          </w:p>
        </w:tc>
        <w:tc>
          <w:tcPr>
            <w:tcW w:type="dxa" w:w="1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40% of adult women</w:t>
            </w:r>
          </w:p>
        </w:tc>
        <w:tc>
          <w:tcPr>
            <w:tcW w:type="dxa" w:w="18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60%</w:t>
            </w:r>
          </w:p>
        </w:tc>
      </w:tr>
      <w:tr>
        <w:tc>
          <w:tcPr>
            <w:tcW w:type="dxa" w:w="30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Frontier Hope Ambassadors trained and earning</w:t>
            </w:r>
          </w:p>
        </w:tc>
        <w:tc>
          <w:tcPr>
            <w:tcW w:type="dxa" w:w="1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0</w:t>
            </w:r>
          </w:p>
        </w:tc>
        <w:tc>
          <w:tcPr>
            <w:tcW w:type="dxa" w:w="1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525</w:t>
            </w:r>
          </w:p>
        </w:tc>
        <w:tc>
          <w:tcPr>
            <w:tcW w:type="dxa" w:w="1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6,250</w:t>
            </w:r>
          </w:p>
        </w:tc>
        <w:tc>
          <w:tcPr>
            <w:tcW w:type="dxa" w:w="18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50,000</w:t>
            </w:r>
          </w:p>
        </w:tc>
      </w:tr>
      <w:tr>
        <w:tc>
          <w:tcPr>
            <w:tcW w:type="dxa" w:w="3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Households enrolled in health coverage at an accredited frontier facility</w:t>
            </w:r>
          </w:p>
        </w:tc>
        <w:tc>
          <w:tcPr>
            <w:tcW w:type="dxa" w:w="1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Phase 0</w:t>
            </w:r>
          </w:p>
        </w:tc>
        <w:tc>
          <w:tcPr>
            <w:tcW w:type="dxa" w:w="1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21 facilities accredited</w:t>
            </w:r>
          </w:p>
        </w:tc>
        <w:tc>
          <w:tcPr>
            <w:tcW w:type="dxa" w:w="1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80%</w:t>
            </w:r>
          </w:p>
        </w:tc>
        <w:tc>
          <w:tcPr>
            <w:tcW w:type="dxa" w:w="18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95%</w:t>
            </w:r>
          </w:p>
        </w:tc>
      </w:tr>
      <w:tr>
        <w:tc>
          <w:tcPr>
            <w:tcW w:type="dxa" w:w="30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Communities scored on the Frontier Vulnerability Index</w:t>
            </w:r>
          </w:p>
        </w:tc>
        <w:tc>
          <w:tcPr>
            <w:tcW w:type="dxa" w:w="1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0</w:t>
            </w:r>
          </w:p>
        </w:tc>
        <w:tc>
          <w:tcPr>
            <w:tcW w:type="dxa" w:w="1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21 fully assessed</w:t>
            </w:r>
          </w:p>
        </w:tc>
        <w:tc>
          <w:tcPr>
            <w:tcW w:type="dxa" w:w="1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2,000+ scored</w:t>
            </w:r>
          </w:p>
        </w:tc>
        <w:tc>
          <w:tcPr>
            <w:tcW w:type="dxa" w:w="18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Annually re-scored</w:t>
            </w:r>
          </w:p>
        </w:tc>
      </w:tr>
      <w:tr>
        <w:tc>
          <w:tcPr>
            <w:tcW w:type="dxa" w:w="3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Mean FVI score, intervention communities</w:t>
            </w:r>
          </w:p>
        </w:tc>
        <w:tc>
          <w:tcPr>
            <w:tcW w:type="dxa" w:w="1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Phase 0</w:t>
            </w:r>
          </w:p>
        </w:tc>
        <w:tc>
          <w:tcPr>
            <w:tcW w:type="dxa" w:w="1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w:t>
            </w:r>
          </w:p>
        </w:tc>
        <w:tc>
          <w:tcPr>
            <w:tcW w:type="dxa" w:w="1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+20 points</w:t>
            </w:r>
          </w:p>
        </w:tc>
        <w:tc>
          <w:tcPr>
            <w:tcW w:type="dxa" w:w="18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+35 points</w:t>
            </w:r>
          </w:p>
        </w:tc>
      </w:tr>
    </w:tbl>
    <w:p>
      <w:pPr>
        <w:pStyle w:val="Heading2"/>
        <w:keepNext/>
        <w:spacing w:after="110" w:before="260"/>
      </w:pPr>
      <w:r>
        <w:rPr>
          <w:rFonts w:ascii="Calibri" w:cs="Calibri" w:eastAsia="Calibri" w:hAnsi="Calibri"/>
          <w:b/>
          <w:bCs/>
          <w:color w:val="0B6E4F"/>
          <w:sz w:val="24"/>
          <w:szCs w:val="24"/>
        </w:rPr>
        <w:t xml:space="preserve">12.1  Independent evaluation</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An independent evaluator, contracted separately from the implementing organisation, will conduct a baseline, a 24-month evaluation and a 60-month evaluation. All evaluation reports will be published in full, including findings unfavourable to the Programme. A programme that cannot survive honest evaluation is not a programme worth Her Excellency’s name.</w:t>
      </w:r>
    </w:p>
    <w:p>
      <w:r>
        <w:br w:type="page"/>
      </w:r>
    </w:p>
    <w:p>
      <w:pPr>
        <w:pStyle w:val="Heading1"/>
        <w:keepNext/>
        <w:pBdr>
          <w:bottom w:val="single" w:color="0B6E4F" w:sz="10" w:space="6"/>
        </w:pBdr>
        <w:spacing w:after="160" w:before="360"/>
      </w:pPr>
      <w:r>
        <w:rPr>
          <w:rFonts w:ascii="Calibri" w:cs="Calibri" w:eastAsia="Calibri" w:hAnsi="Calibri"/>
          <w:b/>
          <w:bCs/>
          <w:color w:val="07452F"/>
          <w:sz w:val="30"/>
          <w:szCs w:val="30"/>
        </w:rPr>
        <w:t xml:space="preserve">13.  Governance, Safeguards and Risk</w:t>
      </w:r>
    </w:p>
    <w:p>
      <w:pPr>
        <w:pStyle w:val="Heading2"/>
        <w:keepNext/>
        <w:spacing w:after="110" w:before="260"/>
      </w:pPr>
      <w:r>
        <w:rPr>
          <w:rFonts w:ascii="Calibri" w:cs="Calibri" w:eastAsia="Calibri" w:hAnsi="Calibri"/>
          <w:b/>
          <w:bCs/>
          <w:color w:val="0B6E4F"/>
          <w:sz w:val="24"/>
          <w:szCs w:val="24"/>
        </w:rPr>
        <w:t xml:space="preserve">13.1  Governance structure</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2800"/>
        <w:gridCol w:w="6838"/>
      </w:tblGrid>
      <w:tr>
        <w:trPr>
          <w:tblHeader/>
        </w:trPr>
        <w:tc>
          <w:tcPr>
            <w:tcW w:type="dxa" w:w="28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Body</w:t>
            </w:r>
          </w:p>
        </w:tc>
        <w:tc>
          <w:tcPr>
            <w:tcW w:type="dxa" w:w="68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Composition and function</w:t>
            </w:r>
          </w:p>
        </w:tc>
      </w:tr>
      <w:tr>
        <w:tc>
          <w:tcPr>
            <w:tcW w:type="dxa" w:w="28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Frontier Programme Council</w:t>
            </w:r>
          </w:p>
        </w:tc>
        <w:tc>
          <w:tcPr>
            <w:tcW w:type="dxa" w:w="68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Chaired by Her Excellency the First Lady. Members: BCDA, NBC, NPopC, NIMC, NPHCDA, relevant Federal Ministries, two Governors’ Spouses on rotation, two development partners, and the implementing organisation. Meets quarterly. Approves the annual plan and the published results.</w:t>
            </w:r>
          </w:p>
        </w:tc>
      </w:tr>
      <w:tr>
        <w:tc>
          <w:tcPr>
            <w:tcW w:type="dxa" w:w="28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Technical Working Group</w:t>
            </w:r>
          </w:p>
        </w:tc>
        <w:tc>
          <w:tcPr>
            <w:tcW w:type="dxa" w:w="68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Programme director, technical leads, agency focal persons, evaluator. Meets monthly. Owns the workplan, the Register and the dashboard.</w:t>
            </w:r>
          </w:p>
        </w:tc>
      </w:tr>
      <w:tr>
        <w:tc>
          <w:tcPr>
            <w:tcW w:type="dxa" w:w="28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State Frontier Committees</w:t>
            </w:r>
          </w:p>
        </w:tc>
        <w:tc>
          <w:tcPr>
            <w:tcW w:type="dxa" w:w="68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Chaired by the Spouse of the Governor as State Frontier Patron. State agencies, LGA chairmen, traditional rulers, community representatives. Owns State-level delivery.</w:t>
            </w:r>
          </w:p>
        </w:tc>
      </w:tr>
      <w:tr>
        <w:tc>
          <w:tcPr>
            <w:tcW w:type="dxa" w:w="28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Community Development Committees</w:t>
            </w:r>
          </w:p>
        </w:tc>
        <w:tc>
          <w:tcPr>
            <w:tcW w:type="dxa" w:w="68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In every intervention community. Mandatory female and youth representation. Selects sites, verifies delivery, holds the maintenance mandate.</w:t>
            </w:r>
          </w:p>
        </w:tc>
      </w:tr>
    </w:tbl>
    <w:p>
      <w:pPr>
        <w:pStyle w:val="Heading2"/>
        <w:keepNext/>
        <w:spacing w:after="110" w:before="260"/>
      </w:pPr>
      <w:r>
        <w:rPr>
          <w:rFonts w:ascii="Calibri" w:cs="Calibri" w:eastAsia="Calibri" w:hAnsi="Calibri"/>
          <w:b/>
          <w:bCs/>
          <w:color w:val="0B6E4F"/>
          <w:sz w:val="24"/>
          <w:szCs w:val="24"/>
        </w:rPr>
        <w:t xml:space="preserve">13.2  Safeguards</w:t>
      </w:r>
    </w:p>
    <w:p>
      <w:pPr>
        <w:pStyle w:val="ListParagraph"/>
        <w:numPr>
          <w:ilvl w:val="0"/>
          <w:numId w:val="2"/>
        </w:numPr>
        <w:spacing w:after="80" w:before="0" w:line="264"/>
        <w:jc w:val="left"/>
      </w:pPr>
      <w:r>
        <w:rPr>
          <w:rFonts w:ascii="Calibri" w:cs="Calibri" w:eastAsia="Calibri" w:hAnsi="Calibri"/>
          <w:b/>
          <w:bCs/>
          <w:color w:val="20211F"/>
          <w:sz w:val="21"/>
          <w:szCs w:val="21"/>
        </w:rPr>
        <w:t xml:space="preserve">No cash handled at community level. </w:t>
      </w:r>
      <w:r>
        <w:rPr>
          <w:rFonts w:ascii="Calibri" w:cs="Calibri" w:eastAsia="Calibri" w:hAnsi="Calibri"/>
          <w:color w:val="20211F"/>
          <w:sz w:val="21"/>
          <w:szCs w:val="21"/>
        </w:rPr>
        <w:t xml:space="preserve">The Programme delivers assets, services and stipends through traceable channels. Ambassador stipends are paid digitally to individual accounts opened as part of the financial inclusion component.</w:t>
      </w:r>
    </w:p>
    <w:p>
      <w:pPr>
        <w:pStyle w:val="ListParagraph"/>
        <w:numPr>
          <w:ilvl w:val="0"/>
          <w:numId w:val="2"/>
        </w:numPr>
        <w:spacing w:after="80" w:before="0" w:line="264"/>
        <w:jc w:val="left"/>
      </w:pPr>
      <w:r>
        <w:rPr>
          <w:rFonts w:ascii="Calibri" w:cs="Calibri" w:eastAsia="Calibri" w:hAnsi="Calibri"/>
          <w:b/>
          <w:bCs/>
          <w:color w:val="20211F"/>
          <w:sz w:val="21"/>
          <w:szCs w:val="21"/>
        </w:rPr>
        <w:t xml:space="preserve">Beneficiary selection integrity. </w:t>
      </w:r>
      <w:r>
        <w:rPr>
          <w:rFonts w:ascii="Calibri" w:cs="Calibri" w:eastAsia="Calibri" w:hAnsi="Calibri"/>
          <w:color w:val="20211F"/>
          <w:sz w:val="21"/>
          <w:szCs w:val="21"/>
        </w:rPr>
        <w:t xml:space="preserve">Selection by published criteria, validated in open community forum with traditional and religious leadership present, and published on the dashboard.</w:t>
      </w:r>
    </w:p>
    <w:p>
      <w:pPr>
        <w:pStyle w:val="ListParagraph"/>
        <w:numPr>
          <w:ilvl w:val="0"/>
          <w:numId w:val="2"/>
        </w:numPr>
        <w:spacing w:after="80" w:before="0" w:line="264"/>
        <w:jc w:val="left"/>
      </w:pPr>
      <w:r>
        <w:rPr>
          <w:rFonts w:ascii="Calibri" w:cs="Calibri" w:eastAsia="Calibri" w:hAnsi="Calibri"/>
          <w:b/>
          <w:bCs/>
          <w:color w:val="20211F"/>
          <w:sz w:val="21"/>
          <w:szCs w:val="21"/>
        </w:rPr>
        <w:t xml:space="preserve">Safeguarding. </w:t>
      </w:r>
      <w:r>
        <w:rPr>
          <w:rFonts w:ascii="Calibri" w:cs="Calibri" w:eastAsia="Calibri" w:hAnsi="Calibri"/>
          <w:color w:val="20211F"/>
          <w:sz w:val="21"/>
          <w:szCs w:val="21"/>
        </w:rPr>
        <w:t xml:space="preserve">A written child protection and safeguarding policy, mandatory training for every Ambassador and contractor, and a confidential reporting channel.</w:t>
      </w:r>
    </w:p>
    <w:p>
      <w:pPr>
        <w:pStyle w:val="ListParagraph"/>
        <w:numPr>
          <w:ilvl w:val="0"/>
          <w:numId w:val="2"/>
        </w:numPr>
        <w:spacing w:after="80" w:before="0" w:line="264"/>
        <w:jc w:val="left"/>
      </w:pPr>
      <w:r>
        <w:rPr>
          <w:rFonts w:ascii="Calibri" w:cs="Calibri" w:eastAsia="Calibri" w:hAnsi="Calibri"/>
          <w:b/>
          <w:bCs/>
          <w:color w:val="20211F"/>
          <w:sz w:val="21"/>
          <w:szCs w:val="21"/>
        </w:rPr>
        <w:t xml:space="preserve">Do no harm. </w:t>
      </w:r>
      <w:r>
        <w:rPr>
          <w:rFonts w:ascii="Calibri" w:cs="Calibri" w:eastAsia="Calibri" w:hAnsi="Calibri"/>
          <w:color w:val="20211F"/>
          <w:sz w:val="21"/>
          <w:szCs w:val="21"/>
        </w:rPr>
        <w:t xml:space="preserve">Conflict-sensitivity screening before entry in any community with an active dispute; siting decisions made so that a borehole does not become a new reason to fight.</w:t>
      </w:r>
    </w:p>
    <w:p>
      <w:pPr>
        <w:pStyle w:val="ListParagraph"/>
        <w:numPr>
          <w:ilvl w:val="0"/>
          <w:numId w:val="2"/>
        </w:numPr>
        <w:spacing w:after="80" w:before="0" w:line="264"/>
        <w:jc w:val="left"/>
      </w:pPr>
      <w:r>
        <w:rPr>
          <w:rFonts w:ascii="Calibri" w:cs="Calibri" w:eastAsia="Calibri" w:hAnsi="Calibri"/>
          <w:b/>
          <w:bCs/>
          <w:color w:val="20211F"/>
          <w:sz w:val="21"/>
          <w:szCs w:val="21"/>
        </w:rPr>
        <w:t xml:space="preserve">Procurement. </w:t>
      </w:r>
      <w:r>
        <w:rPr>
          <w:rFonts w:ascii="Calibri" w:cs="Calibri" w:eastAsia="Calibri" w:hAnsi="Calibri"/>
          <w:color w:val="20211F"/>
          <w:sz w:val="21"/>
          <w:szCs w:val="21"/>
        </w:rPr>
        <w:t xml:space="preserve">Open, published procurement with community observers; unit costs published; contractor performance recorded on the dashboard.</w:t>
      </w:r>
    </w:p>
    <w:p>
      <w:pPr>
        <w:pStyle w:val="Heading2"/>
        <w:keepNext/>
        <w:spacing w:after="110" w:before="260"/>
      </w:pPr>
      <w:r>
        <w:rPr>
          <w:rFonts w:ascii="Calibri" w:cs="Calibri" w:eastAsia="Calibri" w:hAnsi="Calibri"/>
          <w:b/>
          <w:bCs/>
          <w:color w:val="0B6E4F"/>
          <w:sz w:val="24"/>
          <w:szCs w:val="24"/>
        </w:rPr>
        <w:t xml:space="preserve">13.3  Principal risks and mitigation</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2600"/>
        <w:gridCol w:w="3400"/>
        <w:gridCol w:w="3638"/>
      </w:tblGrid>
      <w:tr>
        <w:trPr>
          <w:tblHeader/>
        </w:trPr>
        <w:tc>
          <w:tcPr>
            <w:tcW w:type="dxa" w:w="26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Risk</w:t>
            </w:r>
          </w:p>
        </w:tc>
        <w:tc>
          <w:tcPr>
            <w:tcW w:type="dxa" w:w="34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Consequence</w:t>
            </w:r>
          </w:p>
        </w:tc>
        <w:tc>
          <w:tcPr>
            <w:tcW w:type="dxa" w:w="36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Mitigation</w:t>
            </w:r>
          </w:p>
        </w:tc>
      </w:tr>
      <w:tr>
        <w:tc>
          <w:tcPr>
            <w:tcW w:type="dxa" w:w="2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Insecurity prevents access to priority communities</w:t>
            </w:r>
          </w:p>
        </w:tc>
        <w:tc>
          <w:tcPr>
            <w:tcW w:type="dxa" w:w="3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Highest-need communities become the least served — the exact failure the Programme exists to correct</w:t>
            </w:r>
          </w:p>
        </w:tc>
        <w:tc>
          <w:tcPr>
            <w:tcW w:type="dxa" w:w="36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Security assessment per community; phased entry; remote assessment and phone-based service delivery where physical access is not yet possible; close coordination with security agencies and traditional authorities</w:t>
            </w:r>
          </w:p>
        </w:tc>
      </w:tr>
      <w:tr>
        <w:tc>
          <w:tcPr>
            <w:tcW w:type="dxa" w:w="2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Funds delayed or released in tranches</w:t>
            </w:r>
          </w:p>
        </w:tc>
        <w:tc>
          <w:tcPr>
            <w:tcW w:type="dxa" w:w="3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Momentum lost; community trust damaged</w:t>
            </w:r>
          </w:p>
        </w:tc>
        <w:tc>
          <w:tcPr>
            <w:tcW w:type="dxa" w:w="36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Phase 0 sized to be affordable and self-contained; Phase 1 structured as 21 independent community packages that can proceed as funds permit</w:t>
            </w:r>
          </w:p>
        </w:tc>
      </w:tr>
      <w:tr>
        <w:tc>
          <w:tcPr>
            <w:tcW w:type="dxa" w:w="2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Political transition or change of institutional leadership</w:t>
            </w:r>
          </w:p>
        </w:tc>
        <w:tc>
          <w:tcPr>
            <w:tcW w:type="dxa" w:w="3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Programme orphaned mid-course</w:t>
            </w:r>
          </w:p>
        </w:tc>
        <w:tc>
          <w:tcPr>
            <w:tcW w:type="dxa" w:w="36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Ownership vested in the Renewed Hope Initiative and in statutory agencies simultaneously; the Register is a public good that survives any change of personnel; endowment funds maintenance independently</w:t>
            </w:r>
          </w:p>
        </w:tc>
      </w:tr>
      <w:tr>
        <w:tc>
          <w:tcPr>
            <w:tcW w:type="dxa" w:w="2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Infrastructure built and then abandoned</w:t>
            </w:r>
          </w:p>
        </w:tc>
        <w:tc>
          <w:tcPr>
            <w:tcW w:type="dxa" w:w="3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The familiar cycle of a commissioned borehole that is dry within two years</w:t>
            </w:r>
          </w:p>
        </w:tc>
        <w:tc>
          <w:tcPr>
            <w:tcW w:type="dxa" w:w="36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Maintenance mandate and levy vested in the Community Development Committee; trained local caretakers; endowment-funded spare parts; functionality re-verified at every annual FVI re-scoring</w:t>
            </w:r>
          </w:p>
        </w:tc>
      </w:tr>
      <w:tr>
        <w:tc>
          <w:tcPr>
            <w:tcW w:type="dxa" w:w="2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Elite capture of benefits</w:t>
            </w:r>
          </w:p>
        </w:tc>
        <w:tc>
          <w:tcPr>
            <w:tcW w:type="dxa" w:w="3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Assets sited to serve the influential rather than the needy</w:t>
            </w:r>
          </w:p>
        </w:tc>
        <w:tc>
          <w:tcPr>
            <w:tcW w:type="dxa" w:w="36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Community forum validation, published selection criteria, geotagged public proof, independent evaluation</w:t>
            </w:r>
          </w:p>
        </w:tc>
      </w:tr>
      <w:tr>
        <w:tc>
          <w:tcPr>
            <w:tcW w:type="dxa" w:w="2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Overstated expectations</w:t>
            </w:r>
          </w:p>
        </w:tc>
        <w:tc>
          <w:tcPr>
            <w:tcW w:type="dxa" w:w="3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Communities promised more than is delivered</w:t>
            </w:r>
          </w:p>
        </w:tc>
        <w:tc>
          <w:tcPr>
            <w:tcW w:type="dxa" w:w="36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Public commitment only to what is funded; the 100-day sprint deliberately narrow and deliverable</w:t>
            </w:r>
          </w:p>
        </w:tc>
      </w:tr>
    </w:tbl>
    <w:p>
      <w:r>
        <w:br w:type="page"/>
      </w:r>
    </w:p>
    <w:p>
      <w:pPr>
        <w:pStyle w:val="Heading1"/>
        <w:keepNext/>
        <w:pBdr>
          <w:bottom w:val="single" w:color="0B6E4F" w:sz="10" w:space="6"/>
        </w:pBdr>
        <w:spacing w:after="160" w:before="360"/>
      </w:pPr>
      <w:r>
        <w:rPr>
          <w:rFonts w:ascii="Calibri" w:cs="Calibri" w:eastAsia="Calibri" w:hAnsi="Calibri"/>
          <w:b/>
          <w:bCs/>
          <w:color w:val="07452F"/>
          <w:sz w:val="30"/>
          <w:szCs w:val="30"/>
        </w:rPr>
        <w:t xml:space="preserve">14.  The Ask</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Her Excellency is respectfully requested to:</w:t>
      </w:r>
    </w:p>
    <w:p>
      <w:pPr>
        <w:pStyle w:val="ListParagraph"/>
        <w:numPr>
          <w:ilvl w:val="0"/>
          <w:numId w:val="4"/>
        </w:numPr>
        <w:spacing w:after="80" w:before="0" w:line="264"/>
      </w:pPr>
      <w:r>
        <w:rPr>
          <w:rFonts w:ascii="Calibri" w:cs="Calibri" w:eastAsia="Calibri" w:hAnsi="Calibri"/>
          <w:b/>
          <w:bCs/>
          <w:color w:val="20211F"/>
          <w:sz w:val="21"/>
          <w:szCs w:val="21"/>
        </w:rPr>
        <w:t xml:space="preserve">Adopt the Renewed Hope Frontier Programme </w:t>
      </w:r>
      <w:r>
        <w:rPr>
          <w:rFonts w:ascii="Calibri" w:cs="Calibri" w:eastAsia="Calibri" w:hAnsi="Calibri"/>
          <w:color w:val="20211F"/>
          <w:sz w:val="21"/>
          <w:szCs w:val="21"/>
        </w:rPr>
        <w:t xml:space="preserve">as a flagship initiative of the Renewed Hope Initiative, and to lend it her name and convening authority.</w:t>
      </w:r>
    </w:p>
    <w:p>
      <w:pPr>
        <w:pStyle w:val="ListParagraph"/>
        <w:numPr>
          <w:ilvl w:val="0"/>
          <w:numId w:val="4"/>
        </w:numPr>
        <w:spacing w:after="80" w:before="0" w:line="264"/>
      </w:pPr>
      <w:r>
        <w:rPr>
          <w:rFonts w:ascii="Calibri" w:cs="Calibri" w:eastAsia="Calibri" w:hAnsi="Calibri"/>
          <w:b/>
          <w:bCs/>
          <w:color w:val="20211F"/>
          <w:sz w:val="21"/>
          <w:szCs w:val="21"/>
        </w:rPr>
        <w:t xml:space="preserve">Approve ₦30,000,000 for Phase 0 </w:t>
      </w:r>
      <w:r>
        <w:rPr>
          <w:rFonts w:ascii="Calibri" w:cs="Calibri" w:eastAsia="Calibri" w:hAnsi="Calibri"/>
          <w:color w:val="20211F"/>
          <w:sz w:val="21"/>
          <w:szCs w:val="21"/>
        </w:rPr>
        <w:t xml:space="preserve">— the Frontier Assessment — to produce the Frontier Vulnerability Index, the National Frontier Register, the public dashboard and the costed national plan within six months.</w:t>
      </w:r>
    </w:p>
    <w:p>
      <w:pPr>
        <w:pStyle w:val="ListParagraph"/>
        <w:numPr>
          <w:ilvl w:val="0"/>
          <w:numId w:val="4"/>
        </w:numPr>
        <w:spacing w:after="80" w:before="0" w:line="264"/>
      </w:pPr>
      <w:r>
        <w:rPr>
          <w:rFonts w:ascii="Calibri" w:cs="Calibri" w:eastAsia="Calibri" w:hAnsi="Calibri"/>
          <w:b/>
          <w:bCs/>
          <w:color w:val="20211F"/>
          <w:sz w:val="21"/>
          <w:szCs w:val="21"/>
        </w:rPr>
        <w:t xml:space="preserve">Constitute the Frontier Programme Council </w:t>
      </w:r>
      <w:r>
        <w:rPr>
          <w:rFonts w:ascii="Calibri" w:cs="Calibri" w:eastAsia="Calibri" w:hAnsi="Calibri"/>
          <w:color w:val="20211F"/>
          <w:sz w:val="21"/>
          <w:szCs w:val="21"/>
        </w:rPr>
        <w:t xml:space="preserve">under her chairmanship, and direct the participating Federal agencies to nominate focal persons.</w:t>
      </w:r>
    </w:p>
    <w:p>
      <w:pPr>
        <w:pStyle w:val="ListParagraph"/>
        <w:numPr>
          <w:ilvl w:val="0"/>
          <w:numId w:val="4"/>
        </w:numPr>
        <w:spacing w:after="80" w:before="0" w:line="264"/>
      </w:pPr>
      <w:r>
        <w:rPr>
          <w:rFonts w:ascii="Calibri" w:cs="Calibri" w:eastAsia="Calibri" w:hAnsi="Calibri"/>
          <w:b/>
          <w:bCs/>
          <w:color w:val="20211F"/>
          <w:sz w:val="21"/>
          <w:szCs w:val="21"/>
        </w:rPr>
        <w:t xml:space="preserve">Invite the Nigeria Governors’ Spouses Forum </w:t>
      </w:r>
      <w:r>
        <w:rPr>
          <w:rFonts w:ascii="Calibri" w:cs="Calibri" w:eastAsia="Calibri" w:hAnsi="Calibri"/>
          <w:color w:val="20211F"/>
          <w:sz w:val="21"/>
          <w:szCs w:val="21"/>
        </w:rPr>
        <w:t xml:space="preserve">to designate a State Frontier Patron in each of the 21 border States.</w:t>
      </w:r>
    </w:p>
    <w:p>
      <w:pPr>
        <w:pStyle w:val="ListParagraph"/>
        <w:numPr>
          <w:ilvl w:val="0"/>
          <w:numId w:val="4"/>
        </w:numPr>
        <w:spacing w:after="80" w:before="0" w:line="264"/>
      </w:pPr>
      <w:r>
        <w:rPr>
          <w:rFonts w:ascii="Calibri" w:cs="Calibri" w:eastAsia="Calibri" w:hAnsi="Calibri"/>
          <w:b/>
          <w:bCs/>
          <w:color w:val="20211F"/>
          <w:sz w:val="21"/>
          <w:szCs w:val="21"/>
        </w:rPr>
        <w:t xml:space="preserve">Receive the Phase 0 findings at a National Frontier Summit </w:t>
      </w:r>
      <w:r>
        <w:rPr>
          <w:rFonts w:ascii="Calibri" w:cs="Calibri" w:eastAsia="Calibri" w:hAnsi="Calibri"/>
          <w:color w:val="20211F"/>
          <w:sz w:val="21"/>
          <w:szCs w:val="21"/>
        </w:rPr>
        <w:t xml:space="preserve">in month six, at which the National Frontier Register is published and the 100-Day Frontier Compassion Sprint is launched.</w:t>
      </w:r>
    </w:p>
    <w:tbl>
      <w:tblPr>
        <w:tblW w:type="dxa" w:w="9638"/>
        <w:tblBorders>
          <w:top w:val="single" w:color="0B6E4F" w:sz="4"/>
          <w:left w:val="single" w:color="0B6E4F" w:sz="24"/>
          <w:bottom w:val="single" w:color="0B6E4F" w:sz="4"/>
          <w:right w:val="single" w:color="0B6E4F" w:sz="4"/>
          <w:insideH w:val="none"/>
          <w:insideV w:val="none"/>
        </w:tblBorders>
      </w:tblPr>
      <w:tblGrid>
        <w:gridCol w:w="9638"/>
      </w:tblGrid>
      <w:tr>
        <w:tc>
          <w:tcPr>
            <w:tcW w:type="dxa" w:w="9638"/>
            <w:shd w:fill="F5F4EE" w:color="auto" w:val="clear"/>
            <w:tcMar>
              <w:top w:type="dxa" w:w="200"/>
              <w:left w:type="dxa" w:w="240"/>
              <w:bottom w:type="dxa" w:w="200"/>
              <w:right w:type="dxa" w:w="200"/>
            </w:tcMar>
          </w:tcPr>
          <w:p>
            <w:pPr>
              <w:keepNext w:val="false"/>
              <w:spacing w:after="100" w:before="0" w:line="264"/>
              <w:jc w:val="left"/>
            </w:pPr>
            <w:r>
              <w:rPr>
                <w:rFonts w:ascii="Calibri" w:cs="Calibri" w:eastAsia="Calibri" w:hAnsi="Calibri"/>
                <w:b/>
                <w:bCs/>
                <w:i w:val="false"/>
                <w:iCs w:val="false"/>
                <w:color w:val="0B6E4F"/>
                <w:sz w:val="18"/>
                <w:szCs w:val="18"/>
              </w:rPr>
              <w:t xml:space="preserve">What ₦30 million buys</w:t>
            </w:r>
          </w:p>
          <w:p>
            <w:pPr>
              <w:keepNext w:val="false"/>
              <w:spacing w:after="0" w:before="0" w:line="264"/>
              <w:jc w:val="left"/>
            </w:pPr>
            <w:r>
              <w:rPr>
                <w:rFonts w:ascii="Calibri" w:cs="Calibri" w:eastAsia="Calibri" w:hAnsi="Calibri"/>
                <w:b w:val="false"/>
                <w:bCs w:val="false"/>
                <w:i w:val="false"/>
                <w:iCs w:val="false"/>
                <w:color w:val="20211F"/>
                <w:sz w:val="21"/>
                <w:szCs w:val="21"/>
              </w:rPr>
              <w:t xml:space="preserve">A defensible national evidence base for 20 million citizens. The first authoritative register of Nigeria’s frontier. A public dashboard the whole country can inspect. A costed plan that turns an existing ₦50 billion appropriation into verified delivery. And a body of recorded testimony from frontier mothers, teachers and elders that no Nigerian will be able to watch and remain indifferent to.</w:t>
            </w:r>
          </w:p>
        </w:tc>
      </w:tr>
    </w:tbl>
    <w:p>
      <w:pPr>
        <w:pStyle w:val="Heading2"/>
        <w:keepNext/>
        <w:spacing w:after="110" w:before="260"/>
      </w:pPr>
      <w:r>
        <w:rPr>
          <w:rFonts w:ascii="Calibri" w:cs="Calibri" w:eastAsia="Calibri" w:hAnsi="Calibri"/>
          <w:b/>
          <w:bCs/>
          <w:color w:val="0B6E4F"/>
          <w:sz w:val="24"/>
          <w:szCs w:val="24"/>
        </w:rPr>
        <w:t xml:space="preserve">14.1  Why this organisation</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Josmol Group Inc. and DoktorConnect, working with Omega Wellness Center, bring to this Programme a combination that is uncommon in Nigerian development practice: clinical depth, a portfolio of digital health and assessment platforms already built for Nigerian conditions and Nigerian networks, an established record in psychometric and index construction, and parallel operating capacity in Nigeria and the United States.</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2600"/>
        <w:gridCol w:w="7038"/>
      </w:tblGrid>
      <w:tr>
        <w:trPr>
          <w:tblHeader/>
        </w:trPr>
        <w:tc>
          <w:tcPr>
            <w:tcW w:type="dxa" w:w="26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Capability</w:t>
            </w:r>
          </w:p>
        </w:tc>
        <w:tc>
          <w:tcPr>
            <w:tcW w:type="dxa" w:w="70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Relevance to this Programme</w:t>
            </w:r>
          </w:p>
        </w:tc>
      </w:tr>
      <w:tr>
        <w:tc>
          <w:tcPr>
            <w:tcW w:type="dxa" w:w="2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Index and instrument design</w:t>
            </w:r>
          </w:p>
        </w:tc>
        <w:tc>
          <w:tcPr>
            <w:tcW w:type="dxa" w:w="70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An existing body of validated assessment instruments and index construction work — the discipline the Frontier Vulnerability Index requires</w:t>
            </w:r>
          </w:p>
        </w:tc>
      </w:tr>
      <w:tr>
        <w:tc>
          <w:tcPr>
            <w:tcW w:type="dxa" w:w="2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Digital health delivery at scale</w:t>
            </w:r>
          </w:p>
        </w:tc>
        <w:tc>
          <w:tcPr>
            <w:tcW w:type="dxa" w:w="70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Live platforms operating over app, WhatsApp, SMS and community health worker channels, built for basic handsets and intermittent networks</w:t>
            </w:r>
          </w:p>
        </w:tc>
      </w:tr>
      <w:tr>
        <w:tc>
          <w:tcPr>
            <w:tcW w:type="dxa" w:w="2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Clinical leadership</w:t>
            </w:r>
          </w:p>
        </w:tc>
        <w:tc>
          <w:tcPr>
            <w:tcW w:type="dxa" w:w="70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Chief Medical Officer with programme oversight across the portfolio; clinical governance for the Mother &amp; Child Corridor</w:t>
            </w:r>
          </w:p>
        </w:tc>
      </w:tr>
      <w:tr>
        <w:tc>
          <w:tcPr>
            <w:tcW w:type="dxa" w:w="2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Engineering capacity</w:t>
            </w:r>
          </w:p>
        </w:tc>
        <w:tc>
          <w:tcPr>
            <w:tcW w:type="dxa" w:w="70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In-house platform engineering leadership; the dashboard and Register are core competence, not subcontracted work</w:t>
            </w:r>
          </w:p>
        </w:tc>
      </w:tr>
      <w:tr>
        <w:tc>
          <w:tcPr>
            <w:tcW w:type="dxa" w:w="26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Nigerian operating presence</w:t>
            </w:r>
          </w:p>
        </w:tc>
        <w:tc>
          <w:tcPr>
            <w:tcW w:type="dxa" w:w="70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Registered Nigerian operating entity with established field, telecommunications and institutional relationships</w:t>
            </w:r>
          </w:p>
        </w:tc>
      </w:tr>
      <w:tr>
        <w:tc>
          <w:tcPr>
            <w:tcW w:type="dxa" w:w="26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Programme documentation</w:t>
            </w:r>
          </w:p>
        </w:tc>
        <w:tc>
          <w:tcPr>
            <w:tcW w:type="dxa" w:w="70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Substantial record of Federal and institutional proposal, protocol and programme design work</w:t>
            </w:r>
          </w:p>
        </w:tc>
      </w:tr>
    </w:tbl>
    <w:p>
      <w:pPr>
        <w:keepNext w:val="false"/>
        <w:spacing w:after="120" w:before="120" w:line="276"/>
        <w:jc w:val="both"/>
      </w:pPr>
      <w:r>
        <w:rPr>
          <w:rFonts w:ascii="Calibri" w:cs="Calibri" w:eastAsia="Calibri" w:hAnsi="Calibri"/>
          <w:b w:val="false"/>
          <w:bCs w:val="false"/>
          <w:i w:val="false"/>
          <w:iCs w:val="false"/>
          <w:color w:val="20211F"/>
          <w:sz w:val="21"/>
          <w:szCs w:val="21"/>
        </w:rPr>
        <w:t xml:space="preserve">The implementing organisation commits to full transparency of its own costs, to independent evaluation it does not control, and to transferring the National Frontier Register into public ownership at the end of Phase 0 at no cost to Government.</w:t>
      </w:r>
    </w:p>
    <w:p>
      <w:r>
        <w:br w:type="page"/>
      </w:r>
    </w:p>
    <w:p>
      <w:pPr>
        <w:pStyle w:val="Heading1"/>
        <w:keepNext/>
        <w:pBdr>
          <w:bottom w:val="single" w:color="0B6E4F" w:sz="10" w:space="6"/>
        </w:pBdr>
        <w:spacing w:after="160" w:before="360"/>
      </w:pPr>
      <w:r>
        <w:rPr>
          <w:rFonts w:ascii="Calibri" w:cs="Calibri" w:eastAsia="Calibri" w:hAnsi="Calibri"/>
          <w:b/>
          <w:bCs/>
          <w:color w:val="07452F"/>
          <w:sz w:val="30"/>
          <w:szCs w:val="30"/>
        </w:rPr>
        <w:t xml:space="preserve">15.  Conclusion</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neglect of Nigeria’s border communities is usually described as a humanitarian problem. It is that. But it is also the cheapest unpurchased national security available to this country, the largest untapped trade frontier on the continent, and a standing question about what Nigerian citizenship is worth at the point where it is hardest to exercise.</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Twenty million Nigerians live along that line. They are not asking for privilege. A mother in Banki is asking for a place to deliver her child that is inside her own country. A father in Sabon Birni is asking for water that does not require crossing into Niger Republic. A teacher in Gembu is asking for a roof. A girl in Idiroko is asking to be taught in a Nigerian classroom by a Nigerian teacher.</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These are not expensive requests. They have simply never been counted, never been ranked, and never been championed by someone with the standing to make the whole country pay attention.</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Renewed Hope Initiative has spent three years demonstrating exactly that standing — reaching the vulnerable in all thirty-six States and the Federal Capital Territory, and doing it, in the words used by those who have received it, without unnecessary bottlenecks. This Programme asks that the same reach be extended to the one geography that has never had a champion.</w:t>
      </w:r>
    </w:p>
    <w:tbl>
      <w:tblPr>
        <w:tblW w:type="dxa" w:w="9638"/>
        <w:tblBorders>
          <w:top w:val="single" w:color="C97E12" w:sz="4"/>
          <w:left w:val="single" w:color="C97E12" w:sz="24"/>
          <w:bottom w:val="single" w:color="C97E12" w:sz="4"/>
          <w:right w:val="single" w:color="C97E12" w:sz="4"/>
          <w:insideH w:val="none"/>
          <w:insideV w:val="none"/>
        </w:tblBorders>
      </w:tblPr>
      <w:tblGrid>
        <w:gridCol w:w="9638"/>
      </w:tblGrid>
      <w:tr>
        <w:tc>
          <w:tcPr>
            <w:tcW w:type="dxa" w:w="9638"/>
            <w:shd w:fill="FDF6E7" w:color="auto" w:val="clear"/>
            <w:tcMar>
              <w:top w:type="dxa" w:w="200"/>
              <w:left w:type="dxa" w:w="240"/>
              <w:bottom w:type="dxa" w:w="200"/>
              <w:right w:type="dxa" w:w="200"/>
            </w:tcMar>
          </w:tcPr>
          <w:p>
            <w:pPr>
              <w:keepNext w:val="false"/>
              <w:spacing w:after="100" w:before="0" w:line="264"/>
              <w:jc w:val="center"/>
            </w:pPr>
            <w:r>
              <w:rPr>
                <w:rFonts w:ascii="Calibri" w:cs="Calibri" w:eastAsia="Calibri" w:hAnsi="Calibri"/>
                <w:b/>
                <w:bCs/>
                <w:i w:val="false"/>
                <w:iCs w:val="false"/>
                <w:color w:val="07452F"/>
                <w:sz w:val="30"/>
                <w:szCs w:val="30"/>
              </w:rPr>
              <w:t xml:space="preserve">Nigeria does not end at her borders.</w:t>
            </w:r>
          </w:p>
          <w:p>
            <w:pPr>
              <w:keepNext w:val="false"/>
              <w:spacing w:after="100" w:before="0" w:line="264"/>
              <w:jc w:val="center"/>
            </w:pPr>
            <w:r>
              <w:rPr>
                <w:rFonts w:ascii="Calibri" w:cs="Calibri" w:eastAsia="Calibri" w:hAnsi="Calibri"/>
                <w:b/>
                <w:bCs/>
                <w:i w:val="false"/>
                <w:iCs w:val="false"/>
                <w:color w:val="0B6E4F"/>
                <w:sz w:val="30"/>
                <w:szCs w:val="30"/>
              </w:rPr>
              <w:t xml:space="preserve">Nigeria begins there.</w:t>
            </w:r>
          </w:p>
          <w:p>
            <w:pPr>
              <w:keepNext w:val="false"/>
              <w:spacing w:after="100" w:before="0" w:line="264"/>
              <w:jc w:val="center"/>
            </w:pPr>
            <w:r>
              <w:rPr>
                <w:rFonts w:ascii="Calibri" w:cs="Calibri" w:eastAsia="Calibri" w:hAnsi="Calibri"/>
                <w:b w:val="false"/>
                <w:bCs w:val="false"/>
                <w:i w:val="false"/>
                <w:iCs w:val="false"/>
                <w:color w:val="20211F"/>
                <w:sz w:val="12"/>
                <w:szCs w:val="12"/>
              </w:rPr>
              <w:t xml:space="preserve"> </w:t>
            </w:r>
          </w:p>
          <w:p>
            <w:pPr>
              <w:keepNext w:val="false"/>
              <w:spacing w:after="0" w:before="0" w:line="264"/>
              <w:jc w:val="center"/>
            </w:pPr>
            <w:r>
              <w:rPr>
                <w:rFonts w:ascii="Calibri" w:cs="Calibri" w:eastAsia="Calibri" w:hAnsi="Calibri"/>
                <w:b w:val="false"/>
                <w:bCs w:val="false"/>
                <w:i/>
                <w:iCs/>
                <w:color w:val="20211F"/>
                <w:sz w:val="22"/>
                <w:szCs w:val="22"/>
              </w:rPr>
              <w:t xml:space="preserve">Let this be the administration under which twenty million Nigerians at the edge of the map were finally counted, finally seen, and finally served.</w:t>
            </w:r>
          </w:p>
        </w:tc>
      </w:tr>
    </w:tbl>
    <w:p>
      <w:r>
        <w:br w:type="page"/>
      </w:r>
    </w:p>
    <w:p>
      <w:pPr>
        <w:pStyle w:val="Heading1"/>
        <w:keepNext/>
        <w:pBdr>
          <w:bottom w:val="single" w:color="0B6E4F" w:sz="10" w:space="6"/>
        </w:pBdr>
        <w:spacing w:after="160" w:before="360"/>
      </w:pPr>
      <w:r>
        <w:rPr>
          <w:rFonts w:ascii="Calibri" w:cs="Calibri" w:eastAsia="Calibri" w:hAnsi="Calibri"/>
          <w:b/>
          <w:bCs/>
          <w:color w:val="07452F"/>
          <w:sz w:val="30"/>
          <w:szCs w:val="30"/>
        </w:rPr>
        <w:t xml:space="preserve">Annex A — Phase 0 Workplan Summary</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1400"/>
        <w:gridCol w:w="5000"/>
        <w:gridCol w:w="3238"/>
      </w:tblGrid>
      <w:tr>
        <w:trPr>
          <w:tblHeader/>
        </w:trPr>
        <w:tc>
          <w:tcPr>
            <w:tcW w:type="dxa" w:w="14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Month</w:t>
            </w:r>
          </w:p>
        </w:tc>
        <w:tc>
          <w:tcPr>
            <w:tcW w:type="dxa" w:w="50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Activity</w:t>
            </w:r>
          </w:p>
        </w:tc>
        <w:tc>
          <w:tcPr>
            <w:tcW w:type="dxa" w:w="32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Milestone</w:t>
            </w:r>
          </w:p>
        </w:tc>
      </w:tr>
      <w:tr>
        <w:tc>
          <w:tcPr>
            <w:tcW w:type="dxa" w:w="1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Month 1</w:t>
            </w:r>
          </w:p>
        </w:tc>
        <w:tc>
          <w:tcPr>
            <w:tcW w:type="dxa" w:w="5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Programme inception; Council constituted; agency focal persons nominated; sentinel community selection with BCDA and States</w:t>
            </w:r>
          </w:p>
        </w:tc>
        <w:tc>
          <w:tcPr>
            <w:tcW w:type="dxa" w:w="32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Inception report; 21 communities confirmed</w:t>
            </w:r>
          </w:p>
        </w:tc>
      </w:tr>
      <w:tr>
        <w:tc>
          <w:tcPr>
            <w:tcW w:type="dxa" w:w="1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Month 1–2</w:t>
            </w:r>
          </w:p>
        </w:tc>
        <w:tc>
          <w:tcPr>
            <w:tcW w:type="dxa" w:w="50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FVI instrument development, expert review, multilingual cognitive testing</w:t>
            </w:r>
          </w:p>
        </w:tc>
        <w:tc>
          <w:tcPr>
            <w:tcW w:type="dxa" w:w="32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Validated instrument</w:t>
            </w:r>
          </w:p>
        </w:tc>
      </w:tr>
      <w:tr>
        <w:tc>
          <w:tcPr>
            <w:tcW w:type="dxa" w:w="1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Month 2</w:t>
            </w:r>
          </w:p>
        </w:tc>
        <w:tc>
          <w:tcPr>
            <w:tcW w:type="dxa" w:w="5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Enumerator recruitment, training and security clearance; community entry through traditional leadership</w:t>
            </w:r>
          </w:p>
        </w:tc>
        <w:tc>
          <w:tcPr>
            <w:tcW w:type="dxa" w:w="32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Field team deployed</w:t>
            </w:r>
          </w:p>
        </w:tc>
      </w:tr>
      <w:tr>
        <w:tc>
          <w:tcPr>
            <w:tcW w:type="dxa" w:w="1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Month 2–4</w:t>
            </w:r>
          </w:p>
        </w:tc>
        <w:tc>
          <w:tcPr>
            <w:tcW w:type="dxa" w:w="50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Field assessment across the 21 sentinel communities; testimony capture</w:t>
            </w:r>
          </w:p>
        </w:tc>
        <w:tc>
          <w:tcPr>
            <w:tcW w:type="dxa" w:w="32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21 community profiles; documentary footage</w:t>
            </w:r>
          </w:p>
        </w:tc>
      </w:tr>
      <w:tr>
        <w:tc>
          <w:tcPr>
            <w:tcW w:type="dxa" w:w="1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Month 3–4</w:t>
            </w:r>
          </w:p>
        </w:tc>
        <w:tc>
          <w:tcPr>
            <w:tcW w:type="dxa" w:w="5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Georeferencing and satellite validation with NASRDA and the NBC</w:t>
            </w:r>
          </w:p>
        </w:tc>
        <w:tc>
          <w:tcPr>
            <w:tcW w:type="dxa" w:w="32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Verified coordinate set</w:t>
            </w:r>
          </w:p>
        </w:tc>
      </w:tr>
      <w:tr>
        <w:tc>
          <w:tcPr>
            <w:tcW w:type="dxa" w:w="1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Month 4–5</w:t>
            </w:r>
          </w:p>
        </w:tc>
        <w:tc>
          <w:tcPr>
            <w:tcW w:type="dxa" w:w="50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Remote scoring extension across the national register; dashboard build</w:t>
            </w:r>
          </w:p>
        </w:tc>
        <w:tc>
          <w:tcPr>
            <w:tcW w:type="dxa" w:w="32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National Frontier Register v1</w:t>
            </w:r>
          </w:p>
        </w:tc>
      </w:tr>
      <w:tr>
        <w:tc>
          <w:tcPr>
            <w:tcW w:type="dxa" w:w="14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Month 5</w:t>
            </w:r>
          </w:p>
        </w:tc>
        <w:tc>
          <w:tcPr>
            <w:tcW w:type="dxa" w:w="50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Federal and State validation workshops; unit cost validation; Phase 1 costing</w:t>
            </w:r>
          </w:p>
        </w:tc>
        <w:tc>
          <w:tcPr>
            <w:tcW w:type="dxa" w:w="32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Costed national plan</w:t>
            </w:r>
          </w:p>
        </w:tc>
      </w:tr>
      <w:tr>
        <w:tc>
          <w:tcPr>
            <w:tcW w:type="dxa" w:w="14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8"/>
                <w:szCs w:val="18"/>
              </w:rPr>
              <w:t xml:space="preserve">Month 6</w:t>
            </w:r>
          </w:p>
        </w:tc>
        <w:tc>
          <w:tcPr>
            <w:tcW w:type="dxa" w:w="50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National Frontier Summit: Register published, dashboard launched, 100-Day Sprint commences</w:t>
            </w:r>
          </w:p>
        </w:tc>
        <w:tc>
          <w:tcPr>
            <w:tcW w:type="dxa" w:w="32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8"/>
                <w:szCs w:val="18"/>
              </w:rPr>
              <w:t xml:space="preserve">Public launch</w:t>
            </w:r>
          </w:p>
        </w:tc>
      </w:tr>
    </w:tbl>
    <w:p>
      <w:pPr>
        <w:pStyle w:val="Heading1"/>
        <w:keepNext/>
        <w:pBdr>
          <w:bottom w:val="single" w:color="0B6E4F" w:sz="10" w:space="6"/>
        </w:pBdr>
        <w:spacing w:after="160" w:before="360"/>
      </w:pPr>
      <w:r>
        <w:rPr>
          <w:rFonts w:ascii="Calibri" w:cs="Calibri" w:eastAsia="Calibri" w:hAnsi="Calibri"/>
          <w:b/>
          <w:bCs/>
          <w:color w:val="07452F"/>
          <w:sz w:val="30"/>
          <w:szCs w:val="30"/>
        </w:rPr>
        <w:t xml:space="preserve">Annex B — Documents Accompanying This Proposal</w:t>
      </w:r>
    </w:p>
    <w:p>
      <w:pPr>
        <w:pStyle w:val="ListParagraph"/>
        <w:numPr>
          <w:ilvl w:val="0"/>
          <w:numId w:val="2"/>
        </w:numPr>
        <w:spacing w:after="80" w:before="0" w:line="264"/>
        <w:jc w:val="left"/>
      </w:pPr>
      <w:r>
        <w:rPr>
          <w:rFonts w:ascii="Calibri" w:cs="Calibri" w:eastAsia="Calibri" w:hAnsi="Calibri"/>
          <w:color w:val="20211F"/>
          <w:sz w:val="21"/>
          <w:szCs w:val="21"/>
        </w:rPr>
        <w:t xml:space="preserve">Cover letter to Her Excellency the First Lady of the Federal Republic of Nigeria</w:t>
      </w:r>
    </w:p>
    <w:p>
      <w:pPr>
        <w:pStyle w:val="ListParagraph"/>
        <w:numPr>
          <w:ilvl w:val="0"/>
          <w:numId w:val="2"/>
        </w:numPr>
        <w:spacing w:after="80" w:before="0" w:line="264"/>
        <w:jc w:val="left"/>
      </w:pPr>
      <w:r>
        <w:rPr>
          <w:rFonts w:ascii="Calibri" w:cs="Calibri" w:eastAsia="Calibri" w:hAnsi="Calibri"/>
          <w:color w:val="20211F"/>
          <w:sz w:val="21"/>
          <w:szCs w:val="21"/>
        </w:rPr>
        <w:t xml:space="preserve">Executive summary (two pages, for rapid briefing)</w:t>
      </w:r>
    </w:p>
    <w:p>
      <w:pPr>
        <w:pStyle w:val="ListParagraph"/>
        <w:numPr>
          <w:ilvl w:val="0"/>
          <w:numId w:val="2"/>
        </w:numPr>
        <w:spacing w:after="80" w:before="0" w:line="264"/>
        <w:jc w:val="left"/>
      </w:pPr>
      <w:r>
        <w:rPr>
          <w:rFonts w:ascii="Calibri" w:cs="Calibri" w:eastAsia="Calibri" w:hAnsi="Calibri"/>
          <w:color w:val="20211F"/>
          <w:sz w:val="21"/>
          <w:szCs w:val="21"/>
        </w:rPr>
        <w:t xml:space="preserve">Presentation deck: ‘No Nigerian Beyond Reach’</w:t>
      </w:r>
    </w:p>
    <w:p>
      <w:pPr>
        <w:pStyle w:val="ListParagraph"/>
        <w:numPr>
          <w:ilvl w:val="0"/>
          <w:numId w:val="2"/>
        </w:numPr>
        <w:spacing w:after="80" w:before="0" w:line="264"/>
        <w:jc w:val="left"/>
      </w:pPr>
      <w:r>
        <w:rPr>
          <w:rFonts w:ascii="Calibri" w:cs="Calibri" w:eastAsia="Calibri" w:hAnsi="Calibri"/>
          <w:color w:val="20211F"/>
          <w:sz w:val="21"/>
          <w:szCs w:val="21"/>
        </w:rPr>
        <w:t xml:space="preserve">Frontier map of Nigeria (high resolution, suitable for print and display)</w:t>
      </w:r>
    </w:p>
    <w:p>
      <w:pPr>
        <w:pStyle w:val="Heading1"/>
        <w:keepNext/>
        <w:pBdr>
          <w:bottom w:val="single" w:color="0B6E4F" w:sz="10" w:space="6"/>
        </w:pBdr>
        <w:spacing w:after="160" w:before="360"/>
      </w:pPr>
      <w:r>
        <w:rPr>
          <w:rFonts w:ascii="Calibri" w:cs="Calibri" w:eastAsia="Calibri" w:hAnsi="Calibri"/>
          <w:b/>
          <w:bCs/>
          <w:color w:val="07452F"/>
          <w:sz w:val="30"/>
          <w:szCs w:val="30"/>
        </w:rPr>
        <w:t xml:space="preserve">Annex C — Sources</w:t>
      </w:r>
    </w:p>
    <w:p>
      <w:pPr>
        <w:pStyle w:val="ListParagraph"/>
        <w:numPr>
          <w:ilvl w:val="0"/>
          <w:numId w:val="2"/>
        </w:numPr>
        <w:spacing w:after="80" w:before="0" w:line="264"/>
        <w:jc w:val="left"/>
      </w:pPr>
      <w:r>
        <w:rPr>
          <w:rFonts w:ascii="Calibri" w:cs="Calibri" w:eastAsia="Calibri" w:hAnsi="Calibri"/>
          <w:color w:val="20211F"/>
          <w:sz w:val="21"/>
          <w:szCs w:val="21"/>
        </w:rPr>
        <w:t xml:space="preserve">Border Communities Development Agency Act 2003 (as amended 2006); BCDA register of border communities.</w:t>
      </w:r>
    </w:p>
    <w:p>
      <w:pPr>
        <w:pStyle w:val="ListParagraph"/>
        <w:numPr>
          <w:ilvl w:val="0"/>
          <w:numId w:val="2"/>
        </w:numPr>
        <w:spacing w:after="80" w:before="0" w:line="264"/>
        <w:jc w:val="left"/>
      </w:pPr>
      <w:r>
        <w:rPr>
          <w:rFonts w:ascii="Calibri" w:cs="Calibri" w:eastAsia="Calibri" w:hAnsi="Calibri"/>
          <w:color w:val="20211F"/>
          <w:sz w:val="21"/>
          <w:szCs w:val="21"/>
        </w:rPr>
        <w:t xml:space="preserve">Senate Committee on States and Local Government Affairs, proceedings on border community funding, February 2026.</w:t>
      </w:r>
    </w:p>
    <w:p>
      <w:pPr>
        <w:pStyle w:val="ListParagraph"/>
        <w:numPr>
          <w:ilvl w:val="0"/>
          <w:numId w:val="2"/>
        </w:numPr>
        <w:spacing w:after="80" w:before="0" w:line="264"/>
        <w:jc w:val="left"/>
      </w:pPr>
      <w:r>
        <w:rPr>
          <w:rFonts w:ascii="Calibri" w:cs="Calibri" w:eastAsia="Calibri" w:hAnsi="Calibri"/>
          <w:color w:val="20211F"/>
          <w:sz w:val="21"/>
          <w:szCs w:val="21"/>
        </w:rPr>
        <w:t xml:space="preserve">A Bill for an Act to Amend the Border Communities Development Agency Act, SB.1025, Second Reading, June 2026.</w:t>
      </w:r>
    </w:p>
    <w:p>
      <w:pPr>
        <w:pStyle w:val="ListParagraph"/>
        <w:numPr>
          <w:ilvl w:val="0"/>
          <w:numId w:val="2"/>
        </w:numPr>
        <w:spacing w:after="80" w:before="0" w:line="264"/>
        <w:jc w:val="left"/>
      </w:pPr>
      <w:r>
        <w:rPr>
          <w:rFonts w:ascii="Calibri" w:cs="Calibri" w:eastAsia="Calibri" w:hAnsi="Calibri"/>
          <w:color w:val="20211F"/>
          <w:sz w:val="21"/>
          <w:szCs w:val="21"/>
        </w:rPr>
        <w:t xml:space="preserve">Independent budget analysis of border community allocations against the recognised community register, January 2026.</w:t>
      </w:r>
    </w:p>
    <w:p>
      <w:pPr>
        <w:pStyle w:val="ListParagraph"/>
        <w:numPr>
          <w:ilvl w:val="0"/>
          <w:numId w:val="2"/>
        </w:numPr>
        <w:spacing w:after="80" w:before="0" w:line="264"/>
        <w:jc w:val="left"/>
      </w:pPr>
      <w:r>
        <w:rPr>
          <w:rFonts w:ascii="Calibri" w:cs="Calibri" w:eastAsia="Calibri" w:hAnsi="Calibri"/>
          <w:color w:val="20211F"/>
          <w:sz w:val="21"/>
          <w:szCs w:val="21"/>
        </w:rPr>
        <w:t xml:space="preserve">Renewed Hope Initiative: three-year impact reporting, 2023–2026; five strategic pillars.</w:t>
      </w:r>
    </w:p>
    <w:p>
      <w:pPr>
        <w:pStyle w:val="ListParagraph"/>
        <w:numPr>
          <w:ilvl w:val="0"/>
          <w:numId w:val="2"/>
        </w:numPr>
        <w:spacing w:after="80" w:before="0" w:line="264"/>
        <w:jc w:val="left"/>
      </w:pPr>
      <w:r>
        <w:rPr>
          <w:rFonts w:ascii="Calibri" w:cs="Calibri" w:eastAsia="Calibri" w:hAnsi="Calibri"/>
          <w:color w:val="20211F"/>
          <w:sz w:val="21"/>
          <w:szCs w:val="21"/>
        </w:rPr>
        <w:t xml:space="preserve">Renewed Hope Initiative birth registration project with UNICEF, the National Population Commission, the Federal Ministry of Health and Social Welfare, NIMC, launched August 2024.</w:t>
      </w:r>
    </w:p>
    <w:p>
      <w:pPr>
        <w:pStyle w:val="ListParagraph"/>
        <w:numPr>
          <w:ilvl w:val="0"/>
          <w:numId w:val="2"/>
        </w:numPr>
        <w:spacing w:after="80" w:before="0" w:line="264"/>
        <w:jc w:val="left"/>
      </w:pPr>
      <w:r>
        <w:rPr>
          <w:rFonts w:ascii="Calibri" w:cs="Calibri" w:eastAsia="Calibri" w:hAnsi="Calibri"/>
          <w:color w:val="20211F"/>
          <w:sz w:val="21"/>
          <w:szCs w:val="21"/>
        </w:rPr>
        <w:t xml:space="preserve">Renewed Hope Agenda: eight presidential priority areas.</w:t>
      </w:r>
    </w:p>
    <w:p>
      <w:pPr>
        <w:pStyle w:val="ListParagraph"/>
        <w:numPr>
          <w:ilvl w:val="0"/>
          <w:numId w:val="2"/>
        </w:numPr>
        <w:spacing w:after="80" w:before="0" w:line="264"/>
        <w:jc w:val="left"/>
      </w:pPr>
      <w:r>
        <w:rPr>
          <w:rFonts w:ascii="Calibri" w:cs="Calibri" w:eastAsia="Calibri" w:hAnsi="Calibri"/>
          <w:color w:val="20211F"/>
          <w:sz w:val="21"/>
          <w:szCs w:val="21"/>
        </w:rPr>
        <w:t xml:space="preserve">NCDC cholera situation reporting and outbreak communications, 2024–2026; Borno State cholera outbreak reporting, 2026; Bauchi State Ministry of Health and Social Welfare, Declaration of Cholera Outbreak, 31 July 2026.</w:t>
      </w:r>
    </w:p>
    <w:p>
      <w:pPr>
        <w:pStyle w:val="ListParagraph"/>
        <w:numPr>
          <w:ilvl w:val="0"/>
          <w:numId w:val="2"/>
        </w:numPr>
        <w:spacing w:after="80" w:before="0" w:line="264"/>
        <w:jc w:val="left"/>
      </w:pPr>
      <w:r>
        <w:rPr>
          <w:rFonts w:ascii="Calibri" w:cs="Calibri" w:eastAsia="Calibri" w:hAnsi="Calibri"/>
          <w:color w:val="20211F"/>
          <w:sz w:val="21"/>
          <w:szCs w:val="21"/>
        </w:rPr>
        <w:t xml:space="preserve">Gavi and Federal Ministry of Health reporting on the meningococcal C and W outbreak in northern Nigeria and the Men5CV stockpile deployment.</w:t>
      </w:r>
    </w:p>
    <w:p>
      <w:pPr>
        <w:pStyle w:val="ListParagraph"/>
        <w:numPr>
          <w:ilvl w:val="0"/>
          <w:numId w:val="2"/>
        </w:numPr>
        <w:spacing w:after="80" w:before="0" w:line="264"/>
        <w:jc w:val="left"/>
      </w:pPr>
      <w:r>
        <w:rPr>
          <w:rFonts w:ascii="Calibri" w:cs="Calibri" w:eastAsia="Calibri" w:hAnsi="Calibri"/>
          <w:color w:val="20211F"/>
          <w:sz w:val="21"/>
          <w:szCs w:val="21"/>
        </w:rPr>
        <w:t xml:space="preserve">Reporting on the northern Nigeria diphtheria outbreak and its association with unimmunised children; NPHCDA “Big Catch-Up” zero-dose immunisation reporting, 2026.</w:t>
      </w:r>
    </w:p>
    <w:p>
      <w:pPr>
        <w:pStyle w:val="ListParagraph"/>
        <w:numPr>
          <w:ilvl w:val="0"/>
          <w:numId w:val="2"/>
        </w:numPr>
        <w:spacing w:after="80" w:before="0" w:line="264"/>
        <w:jc w:val="left"/>
      </w:pPr>
      <w:r>
        <w:rPr>
          <w:rFonts w:ascii="Calibri" w:cs="Calibri" w:eastAsia="Calibri" w:hAnsi="Calibri"/>
          <w:color w:val="20211F"/>
          <w:sz w:val="21"/>
          <w:szCs w:val="21"/>
        </w:rPr>
        <w:t xml:space="preserve">NCDC, National Technical Guidelines for Integrated Disease Surveillance and Response, 3rd edition (2020).</w:t>
      </w:r>
    </w:p>
    <w:p>
      <w:pPr>
        <w:pStyle w:val="ListParagraph"/>
        <w:numPr>
          <w:ilvl w:val="0"/>
          <w:numId w:val="2"/>
        </w:numPr>
        <w:spacing w:after="80" w:before="0" w:line="264"/>
        <w:jc w:val="left"/>
      </w:pPr>
      <w:r>
        <w:rPr>
          <w:rFonts w:ascii="Calibri" w:cs="Calibri" w:eastAsia="Calibri" w:hAnsi="Calibri"/>
          <w:color w:val="20211F"/>
          <w:sz w:val="21"/>
          <w:szCs w:val="21"/>
        </w:rPr>
        <w:t xml:space="preserve">NCDC statement on Public Health Emergency Operations Centre coverage, February 2026.</w:t>
      </w:r>
    </w:p>
    <w:p>
      <w:pPr>
        <w:pStyle w:val="ListParagraph"/>
        <w:numPr>
          <w:ilvl w:val="0"/>
          <w:numId w:val="2"/>
        </w:numPr>
        <w:spacing w:after="80" w:before="0" w:line="264"/>
        <w:jc w:val="left"/>
      </w:pPr>
      <w:r>
        <w:rPr>
          <w:rFonts w:ascii="Calibri" w:cs="Calibri" w:eastAsia="Calibri" w:hAnsi="Calibri"/>
          <w:color w:val="20211F"/>
          <w:sz w:val="21"/>
          <w:szCs w:val="21"/>
        </w:rPr>
        <w:t xml:space="preserve">National Health Insurance Authority Act 2022; Basic Health Care Provision Fund and Vulnerable Group Fund eligibility and scope, NHIA; National Health Act 2014, section 11.</w:t>
      </w:r>
    </w:p>
    <w:p>
      <w:pPr>
        <w:pStyle w:val="ListParagraph"/>
        <w:numPr>
          <w:ilvl w:val="0"/>
          <w:numId w:val="2"/>
        </w:numPr>
        <w:spacing w:after="80" w:before="0" w:line="264"/>
        <w:jc w:val="left"/>
      </w:pPr>
      <w:r>
        <w:rPr>
          <w:rFonts w:ascii="Calibri" w:cs="Calibri" w:eastAsia="Calibri" w:hAnsi="Calibri"/>
          <w:color w:val="20211F"/>
          <w:sz w:val="21"/>
          <w:szCs w:val="21"/>
        </w:rPr>
        <w:t xml:space="preserve">Nigeria Health Watch, reporting on state social health insurance expansion and the Gyartai (Ghari LGA, Kano State) primary health facility, 2026.</w:t>
      </w:r>
    </w:p>
    <w:p>
      <w:pPr>
        <w:keepNext w:val="false"/>
        <w:spacing w:after="120" w:before="160" w:line="276"/>
        <w:jc w:val="both"/>
      </w:pPr>
      <w:r>
        <w:rPr>
          <w:rFonts w:ascii="Calibri" w:cs="Calibri" w:eastAsia="Calibri" w:hAnsi="Calibri"/>
          <w:b w:val="false"/>
          <w:bCs w:val="false"/>
          <w:i/>
          <w:iCs/>
          <w:color w:val="6B6862"/>
          <w:sz w:val="18"/>
          <w:szCs w:val="18"/>
        </w:rPr>
        <w:t xml:space="preserve">Population and geographic figures are drawn from the source assessment framework underpinning this proposal and from BCDA published material. All such figures are to be verified and superseded by the Phase 0 assessment.</w:t>
      </w:r>
    </w:p>
    <w:sectPr>
      <w:footerReference w:type="default" r:id="rId7"/>
      <w:pgSz w:w="11906" w:h="16838" w:orient="portrait"/>
      <w:pgMar w:top="1134" w:right="1134" w:bottom="1134" w:left="1134" w:header="567" w:footer="567"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6BC" w:sz="4" w:space="6"/>
      </w:pBdr>
      <w:spacing w:before="120"/>
      <w:jc w:val="center"/>
    </w:pPr>
    <w:r>
      <w:rPr>
        <w:color w:val="6B6862"/>
        <w:sz w:val="16"/>
        <w:szCs w:val="16"/>
      </w:rPr>
      <w:t xml:space="preserve">Border Communities and National Development  ·  Renewed Hope Frontier Programme  ·  </w:t>
    </w:r>
    <w:r>
      <w:rPr>
        <w:b/>
        <w:bCs/>
        <w:color w:val="6B6862"/>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rPr>
        <w:color w:val="0B6E4F"/>
        <w:sz w:val="20"/>
        <w:szCs w:val="20"/>
      </w:rPr>
    </w:lvl>
    <w:lvl w:ilvl="1" w15:tentative="1">
      <w:start w:val="1"/>
      <w:numFmt w:val="bullet"/>
      <w:lvlText w:val="–"/>
      <w:lvlJc w:val="left"/>
      <w:pPr>
        <w:ind w:left="700" w:hanging="200"/>
      </w:pPr>
      <w:rPr>
        <w:color w:val="6B6862"/>
        <w:sz w:val="20"/>
        <w:szCs w:val="20"/>
      </w:rPr>
    </w:lvl>
  </w:abstractNum>
  <w:abstractNum w:abstractNumId="3" w15:restartNumberingAfterBreak="0">
    <w:multiLevelType w:val="hybridMultilevel"/>
    <w:lvl w:ilvl="0" w15:tentative="1">
      <w:start w:val="1"/>
      <w:numFmt w:val="decimal"/>
      <w:lvlText w:val="%1."/>
      <w:lvlJc w:val="left"/>
      <w:pPr>
        <w:ind w:left="460" w:hanging="320"/>
      </w:pPr>
      <w:rPr>
        <w:b/>
        <w:bCs/>
        <w:color w:val="0B6E4F"/>
        <w:sz w:val="21"/>
        <w:szCs w:val="21"/>
      </w:rPr>
    </w:lvl>
  </w:abstractNum>
  <w:abstractNum w:abstractNumId="4" w15:restartNumberingAfterBreak="0">
    <w:multiLevelType w:val="hybridMultilevel"/>
    <w:lvl w:ilvl="0" w15:tentative="1">
      <w:start w:val="1"/>
      <w:numFmt w:val="decimal"/>
      <w:lvlText w:val="%1."/>
      <w:lvlJc w:val="left"/>
      <w:pPr>
        <w:ind w:left="460" w:hanging="320"/>
      </w:pPr>
      <w:rPr>
        <w:b/>
        <w:bCs/>
        <w:color w:val="0B6E4F"/>
        <w:sz w:val="21"/>
        <w:szCs w:val="21"/>
      </w:rPr>
    </w:lvl>
  </w:abstractNum>
  <w:abstractNum w:abstractNumId="5" w15:restartNumberingAfterBreak="0">
    <w:multiLevelType w:val="hybridMultilevel"/>
    <w:lvl w:ilvl="0" w15:tentative="1">
      <w:start w:val="1"/>
      <w:numFmt w:val="decimal"/>
      <w:lvlText w:val="%1."/>
      <w:lvlJc w:val="left"/>
      <w:pPr>
        <w:ind w:left="460" w:hanging="320"/>
      </w:pPr>
      <w:rPr>
        <w:b/>
        <w:bCs/>
        <w:color w:val="0B6E4F"/>
        <w:sz w:val="21"/>
        <w:szCs w:val="21"/>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0211F"/>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640ddd45acf652965a36addcd7cd12f23790f38c.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2026-08-10T22:12:37.415Z</dcterms:created>
  <dcterms:modified xsi:type="dcterms:W3CDTF">2026-08-10T22:12:37.431Z</dcterms:modified>
</cp:coreProperties>
</file>

<file path=docProps/custom.xml><?xml version="1.0" encoding="utf-8"?>
<Properties xmlns="http://schemas.openxmlformats.org/officeDocument/2006/custom-properties" xmlns:vt="http://schemas.openxmlformats.org/officeDocument/2006/docPropsVTypes"/>
</file>